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9D4A6D">
      <w:pPr>
        <w:pStyle w:val="2"/>
        <w:jc w:val="both"/>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pacing w:val="20"/>
          <w:sz w:val="32"/>
          <w:szCs w:val="32"/>
          <w:lang w:val="en-US" w:eastAsia="zh-CN"/>
        </w:rPr>
        <w:t>附件：</w:t>
      </w:r>
    </w:p>
    <w:p w14:paraId="72377A2C">
      <w:pPr>
        <w:widowControl w:val="0"/>
        <w:autoSpaceDE w:val="0"/>
        <w:autoSpaceDN w:val="0"/>
        <w:adjustRightInd w:val="0"/>
        <w:spacing w:line="240" w:lineRule="auto"/>
        <w:jc w:val="center"/>
        <w:outlineLvl w:val="0"/>
        <w:rPr>
          <w:rFonts w:hint="eastAsia" w:ascii="华文中宋" w:hAnsi="Calibri" w:eastAsia="华文中宋" w:cs="华文中宋"/>
          <w:color w:val="000000"/>
          <w:kern w:val="0"/>
          <w:sz w:val="44"/>
          <w:szCs w:val="52"/>
          <w:lang w:val="en-US" w:eastAsia="zh-CN" w:bidi="ar-SA"/>
        </w:rPr>
      </w:pPr>
      <w:bookmarkStart w:id="0" w:name="nsrmc"/>
      <w:bookmarkEnd w:id="0"/>
      <w:r>
        <w:rPr>
          <w:rFonts w:hint="eastAsia" w:ascii="华文中宋" w:hAnsi="Calibri" w:eastAsia="华文中宋" w:cs="华文中宋"/>
          <w:color w:val="000000"/>
          <w:kern w:val="0"/>
          <w:sz w:val="44"/>
          <w:szCs w:val="52"/>
          <w:lang w:val="en-US" w:eastAsia="zh-CN" w:bidi="ar-SA"/>
        </w:rPr>
        <w:t>国家税务总局鄂尔多斯市税务局</w:t>
      </w:r>
    </w:p>
    <w:p w14:paraId="1614D2E1">
      <w:pPr>
        <w:widowControl w:val="0"/>
        <w:autoSpaceDE w:val="0"/>
        <w:autoSpaceDN w:val="0"/>
        <w:adjustRightInd w:val="0"/>
        <w:jc w:val="center"/>
        <w:outlineLvl w:val="0"/>
        <w:rPr>
          <w:rFonts w:ascii="华文中宋" w:hAnsi="Calibri" w:eastAsia="华文中宋" w:cs="华文中宋"/>
          <w:color w:val="000000"/>
          <w:kern w:val="0"/>
          <w:sz w:val="44"/>
          <w:szCs w:val="52"/>
          <w:lang w:val="en-US" w:eastAsia="zh-CN" w:bidi="ar-SA"/>
        </w:rPr>
      </w:pPr>
      <w:r>
        <w:rPr>
          <w:rFonts w:hint="eastAsia" w:ascii="华文中宋" w:hAnsi="Calibri" w:eastAsia="华文中宋" w:cs="华文中宋"/>
          <w:color w:val="000000"/>
          <w:kern w:val="0"/>
          <w:sz w:val="44"/>
          <w:szCs w:val="52"/>
          <w:lang w:val="en-US" w:eastAsia="zh-CN" w:bidi="ar-SA"/>
        </w:rPr>
        <w:t>第三稽查局</w:t>
      </w:r>
    </w:p>
    <w:p w14:paraId="07A16E75">
      <w:pPr>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outlineLvl w:val="0"/>
        <w:rPr>
          <w:rFonts w:ascii="华文中宋" w:hAnsi="Calibri" w:eastAsia="华文中宋" w:cs="华文中宋"/>
          <w:color w:val="000000"/>
          <w:kern w:val="0"/>
          <w:sz w:val="72"/>
          <w:szCs w:val="72"/>
          <w:lang w:val="en-US" w:eastAsia="zh-CN" w:bidi="ar-SA"/>
        </w:rPr>
      </w:pPr>
      <w:r>
        <w:rPr>
          <w:rFonts w:hint="eastAsia" w:ascii="华文中宋" w:hAnsi="Calibri" w:eastAsia="华文中宋" w:cs="华文中宋"/>
          <w:color w:val="000000"/>
          <w:kern w:val="0"/>
          <w:sz w:val="72"/>
          <w:szCs w:val="72"/>
          <w:lang w:val="en-US" w:eastAsia="zh-CN" w:bidi="ar-SA"/>
        </w:rPr>
        <w:t>税务处理决定书</w:t>
      </w:r>
    </w:p>
    <w:p w14:paraId="0D5C245A">
      <w:pPr>
        <w:widowControl w:val="0"/>
        <w:autoSpaceDE w:val="0"/>
        <w:autoSpaceDN w:val="0"/>
        <w:adjustRightInd w:val="0"/>
        <w:jc w:val="center"/>
        <w:outlineLvl w:val="0"/>
        <w:rPr>
          <w:rFonts w:ascii="仿宋" w:hAnsi="仿宋" w:eastAsia="仿宋" w:cs="仿宋-宋"/>
          <w:color w:val="000000"/>
          <w:kern w:val="0"/>
          <w:sz w:val="32"/>
          <w:szCs w:val="32"/>
          <w:lang w:val="en-US" w:eastAsia="zh-CN" w:bidi="ar-SA"/>
        </w:rPr>
      </w:pPr>
      <w:r>
        <w:rPr>
          <w:rFonts w:ascii="华文中宋" w:hAnsi="Calibri" w:eastAsia="华文中宋" w:cs="华文中宋"/>
          <w:color w:val="000000"/>
          <w:kern w:val="0"/>
          <w:sz w:val="72"/>
          <w:szCs w:val="72"/>
          <w:lang w:val="en-US" w:eastAsia="zh-CN" w:bidi="ar-SA"/>
        </w:rPr>
        <mc:AlternateContent>
          <mc:Choice Requires="wps">
            <w:drawing>
              <wp:anchor distT="0" distB="0" distL="114300" distR="114300" simplePos="0" relativeHeight="251659264" behindDoc="0" locked="0" layoutInCell="1" allowOverlap="1">
                <wp:simplePos x="0" y="0"/>
                <wp:positionH relativeFrom="column">
                  <wp:posOffset>-109220</wp:posOffset>
                </wp:positionH>
                <wp:positionV relativeFrom="paragraph">
                  <wp:posOffset>361950</wp:posOffset>
                </wp:positionV>
                <wp:extent cx="5687695" cy="0"/>
                <wp:effectExtent l="0" t="20320" r="8255" b="36830"/>
                <wp:wrapNone/>
                <wp:docPr id="1" name="直接箭头连接符 1"/>
                <wp:cNvGraphicFramePr/>
                <a:graphic xmlns:a="http://schemas.openxmlformats.org/drawingml/2006/main">
                  <a:graphicData uri="http://schemas.microsoft.com/office/word/2010/wordprocessingShape">
                    <wps:wsp>
                      <wps:cNvCnPr/>
                      <wps:spPr>
                        <a:xfrm>
                          <a:off x="0" y="0"/>
                          <a:ext cx="5687695" cy="0"/>
                        </a:xfrm>
                        <a:prstGeom prst="straightConnector1">
                          <a:avLst/>
                        </a:prstGeom>
                        <a:ln w="4127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8.6pt;margin-top:28.5pt;height:0pt;width:447.85pt;z-index:251659264;mso-width-relative:page;mso-height-relative:page;" filled="f" stroked="t" coordsize="21600,21600" o:gfxdata="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KT/R51wAAAAkBAAAPAAAAAAAAAAEAIAAAACIAAABkcnMvZG93bnJl&#10;di54bWxQSwECFAAUAAAACACHTuJAsCJwMP4BAADtAwAADgAAAAAAAAABACAAAAAmAQAAZHJzL2Uy&#10;b0RvYy54bWxQSwUGAAAAAAYABgBZAQAAlgUAAAAA&#10;">
                <v:fill on="f" focussize="0,0"/>
                <v:stroke weight="3.25pt" color="#000000" joinstyle="round"/>
                <v:imagedata o:title=""/>
                <o:lock v:ext="edit" aspectratio="f"/>
              </v:shape>
            </w:pict>
          </mc:Fallback>
        </mc:AlternateContent>
      </w:r>
      <w:r>
        <w:rPr>
          <w:rFonts w:hint="eastAsia" w:ascii="仿宋" w:hAnsi="仿宋" w:eastAsia="仿宋" w:cs="仿宋-宋"/>
          <w:color w:val="000000"/>
          <w:kern w:val="0"/>
          <w:sz w:val="32"/>
          <w:szCs w:val="32"/>
          <w:lang w:val="en-US" w:eastAsia="zh-CN" w:bidi="ar-SA"/>
        </w:rPr>
        <w:t>鄂税三稽处〔2026〕8号</w:t>
      </w:r>
    </w:p>
    <w:p w14:paraId="68A9B775">
      <w:pPr>
        <w:pStyle w:val="13"/>
        <w:jc w:val="both"/>
        <w:rPr>
          <w:rFonts w:hint="eastAsia" w:ascii="仿宋_GB2312" w:hAnsi="仿宋_GB2312" w:eastAsia="仿宋_GB2312" w:cs="仿宋_GB2312"/>
          <w:color w:val="auto"/>
          <w:kern w:val="2"/>
          <w:sz w:val="32"/>
          <w:szCs w:val="40"/>
          <w:highlight w:val="none"/>
          <w:lang w:val="en-US" w:eastAsia="zh-CN" w:bidi="ar-SA"/>
        </w:rPr>
      </w:pPr>
      <w:r>
        <w:rPr>
          <w:rFonts w:hint="eastAsia" w:ascii="仿宋_GB2312" w:hAnsi="仿宋_GB2312" w:eastAsia="仿宋_GB2312" w:cs="仿宋_GB2312"/>
          <w:color w:val="auto"/>
          <w:kern w:val="2"/>
          <w:sz w:val="32"/>
          <w:szCs w:val="40"/>
          <w:highlight w:val="none"/>
          <w:lang w:val="en-US" w:eastAsia="zh-CN" w:bidi="ar-SA"/>
        </w:rPr>
        <w:t>田永利（纳税人识别号：152728********1219）：</w:t>
      </w:r>
    </w:p>
    <w:p w14:paraId="4C3F6A27">
      <w:pPr>
        <w:widowControl w:val="0"/>
        <w:autoSpaceDE w:val="0"/>
        <w:autoSpaceDN w:val="0"/>
        <w:adjustRightInd w:val="0"/>
        <w:spacing w:line="560" w:lineRule="exact"/>
        <w:ind w:firstLine="640" w:firstLineChars="200"/>
        <w:jc w:val="both"/>
        <w:rPr>
          <w:rFonts w:hint="eastAsia" w:ascii="仿宋_GB2312" w:hAnsi="仿宋_GB2312" w:eastAsia="仿宋_GB2312" w:cs="仿宋_GB2312"/>
          <w:color w:val="auto"/>
          <w:kern w:val="2"/>
          <w:sz w:val="32"/>
          <w:szCs w:val="40"/>
          <w:highlight w:val="none"/>
          <w:lang w:val="en-US" w:eastAsia="zh-CN" w:bidi="ar-SA"/>
        </w:rPr>
      </w:pPr>
      <w:r>
        <w:rPr>
          <w:rFonts w:hint="eastAsia" w:ascii="仿宋_GB2312" w:hAnsi="仿宋_GB2312" w:eastAsia="仿宋_GB2312" w:cs="仿宋_GB2312"/>
          <w:color w:val="auto"/>
          <w:kern w:val="2"/>
          <w:sz w:val="32"/>
          <w:szCs w:val="40"/>
          <w:highlight w:val="none"/>
          <w:lang w:val="en-US" w:eastAsia="zh-CN" w:bidi="ar-SA"/>
        </w:rPr>
        <w:t xml:space="preserve">我局于2025年6月16日起，对你（地址：内蒙古鄂尔多斯市伊金霍洛旗纳林陶亥镇道劳岱村沟门社034号）2020年1月1日-2020年12月31日期间的涉税情况进行检查，违法事实及处理决定如下： </w:t>
      </w:r>
    </w:p>
    <w:p w14:paraId="3268E6FB">
      <w:pPr>
        <w:widowControl w:val="0"/>
        <w:autoSpaceDE w:val="0"/>
        <w:autoSpaceDN w:val="0"/>
        <w:adjustRightInd w:val="0"/>
        <w:spacing w:line="560" w:lineRule="exact"/>
        <w:ind w:firstLine="640" w:firstLineChars="200"/>
        <w:jc w:val="both"/>
        <w:rPr>
          <w:rFonts w:hint="eastAsia" w:ascii="仿宋_GB2312" w:hAnsi="仿宋_GB2312" w:eastAsia="仿宋_GB2312" w:cs="仿宋_GB2312"/>
          <w:color w:val="auto"/>
          <w:kern w:val="2"/>
          <w:sz w:val="32"/>
          <w:szCs w:val="40"/>
          <w:highlight w:val="none"/>
          <w:lang w:val="en-US" w:eastAsia="zh-CN" w:bidi="ar-SA"/>
        </w:rPr>
      </w:pPr>
      <w:r>
        <w:rPr>
          <w:rFonts w:hint="eastAsia" w:ascii="仿宋_GB2312" w:hAnsi="仿宋_GB2312" w:eastAsia="仿宋_GB2312" w:cs="仿宋_GB2312"/>
          <w:color w:val="auto"/>
          <w:kern w:val="2"/>
          <w:sz w:val="32"/>
          <w:szCs w:val="40"/>
          <w:highlight w:val="none"/>
          <w:lang w:val="en-US" w:eastAsia="zh-CN" w:bidi="ar-SA"/>
        </w:rPr>
        <w:t>一、违法事实</w:t>
      </w:r>
    </w:p>
    <w:p w14:paraId="6B5EDFA7">
      <w:pPr>
        <w:widowControl w:val="0"/>
        <w:autoSpaceDE w:val="0"/>
        <w:autoSpaceDN w:val="0"/>
        <w:adjustRightInd w:val="0"/>
        <w:spacing w:line="560" w:lineRule="exact"/>
        <w:ind w:firstLine="640" w:firstLineChars="200"/>
        <w:jc w:val="both"/>
        <w:rPr>
          <w:rFonts w:hint="eastAsia" w:ascii="仿宋_GB2312" w:hAnsi="仿宋_GB2312" w:eastAsia="仿宋_GB2312" w:cs="仿宋_GB2312"/>
          <w:color w:val="auto"/>
          <w:kern w:val="2"/>
          <w:sz w:val="32"/>
          <w:szCs w:val="40"/>
          <w:highlight w:val="none"/>
          <w:lang w:val="en-US" w:eastAsia="zh-CN" w:bidi="ar-SA"/>
        </w:rPr>
      </w:pPr>
      <w:r>
        <w:rPr>
          <w:rFonts w:hint="eastAsia" w:ascii="仿宋_GB2312" w:hAnsi="仿宋_GB2312" w:eastAsia="仿宋_GB2312" w:cs="仿宋_GB2312"/>
          <w:color w:val="auto"/>
          <w:kern w:val="2"/>
          <w:sz w:val="32"/>
          <w:szCs w:val="40"/>
          <w:highlight w:val="none"/>
          <w:lang w:val="en-US" w:eastAsia="zh-CN" w:bidi="ar-SA"/>
        </w:rPr>
        <w:t>经查，你于2020年提供装修服务取得收入163,804.00元，未进行纳税申报。</w:t>
      </w:r>
    </w:p>
    <w:p w14:paraId="24B2A6CF">
      <w:pPr>
        <w:widowControl w:val="0"/>
        <w:autoSpaceDE w:val="0"/>
        <w:autoSpaceDN w:val="0"/>
        <w:adjustRightInd w:val="0"/>
        <w:spacing w:line="560" w:lineRule="exact"/>
        <w:ind w:firstLine="640" w:firstLineChars="200"/>
        <w:jc w:val="both"/>
        <w:rPr>
          <w:rFonts w:hint="eastAsia" w:ascii="仿宋_GB2312" w:hAnsi="仿宋_GB2312" w:eastAsia="仿宋_GB2312" w:cs="仿宋_GB2312"/>
          <w:color w:val="auto"/>
          <w:kern w:val="2"/>
          <w:sz w:val="32"/>
          <w:szCs w:val="40"/>
          <w:highlight w:val="none"/>
          <w:lang w:val="en-US" w:eastAsia="zh-CN" w:bidi="ar-SA"/>
        </w:rPr>
      </w:pPr>
      <w:r>
        <w:rPr>
          <w:rFonts w:hint="eastAsia" w:ascii="仿宋_GB2312" w:hAnsi="仿宋_GB2312" w:eastAsia="仿宋_GB2312" w:cs="仿宋_GB2312"/>
          <w:color w:val="auto"/>
          <w:kern w:val="2"/>
          <w:sz w:val="32"/>
          <w:szCs w:val="40"/>
          <w:highlight w:val="none"/>
          <w:lang w:val="en-US" w:eastAsia="zh-CN" w:bidi="ar-SA"/>
        </w:rPr>
        <w:t>根据举报内容显示，你于2020年6月承揽了举报人在伊金霍洛旗乌兰木伦镇的房屋装修事宜，并收取装修费共计290,000.00元，后于2021年你与举报人因装修产生纠纷诉讼至内蒙古自治区伊金霍洛旗人民法院，根据内蒙古自治区伊金霍洛旗人民法院出具的《民事判决书》（2021内0627民初303号）表明，你为举报人提供装修服务，并于2020年7月至9月分批次共计收到装修款项290,000.00元，但装修服务未完成双方即产生纠纷，经内蒙古华鼎工程造价有限公司鉴定，上述装修工程的总造价为163,804.00元，判决结果为你需一次性返还举报人装修款126,196.00元。</w:t>
      </w:r>
    </w:p>
    <w:p w14:paraId="43F83466">
      <w:pPr>
        <w:widowControl w:val="0"/>
        <w:autoSpaceDE w:val="0"/>
        <w:autoSpaceDN w:val="0"/>
        <w:adjustRightInd w:val="0"/>
        <w:spacing w:line="560" w:lineRule="exact"/>
        <w:ind w:firstLine="640" w:firstLineChars="200"/>
        <w:jc w:val="both"/>
        <w:rPr>
          <w:rFonts w:hint="eastAsia" w:ascii="仿宋_GB2312" w:hAnsi="仿宋_GB2312" w:eastAsia="仿宋_GB2312" w:cs="仿宋_GB2312"/>
          <w:color w:val="auto"/>
          <w:kern w:val="2"/>
          <w:sz w:val="32"/>
          <w:szCs w:val="40"/>
          <w:highlight w:val="none"/>
          <w:lang w:val="en-US" w:eastAsia="zh-CN" w:bidi="ar-SA"/>
        </w:rPr>
      </w:pPr>
      <w:r>
        <w:rPr>
          <w:rFonts w:hint="eastAsia" w:ascii="仿宋_GB2312" w:hAnsi="仿宋_GB2312" w:eastAsia="仿宋_GB2312" w:cs="仿宋_GB2312"/>
          <w:color w:val="auto"/>
          <w:kern w:val="2"/>
          <w:sz w:val="32"/>
          <w:szCs w:val="40"/>
          <w:highlight w:val="none"/>
          <w:lang w:val="en-US" w:eastAsia="zh-CN" w:bidi="ar-SA"/>
        </w:rPr>
        <w:t>综上，你于2020年提供装修服务取得收入163,804.00元，未进行纳税申报。</w:t>
      </w:r>
    </w:p>
    <w:p w14:paraId="6E2013CB">
      <w:pPr>
        <w:widowControl w:val="0"/>
        <w:autoSpaceDE w:val="0"/>
        <w:autoSpaceDN w:val="0"/>
        <w:adjustRightInd w:val="0"/>
        <w:spacing w:line="560" w:lineRule="exact"/>
        <w:ind w:firstLine="640" w:firstLineChars="200"/>
        <w:jc w:val="both"/>
        <w:rPr>
          <w:rFonts w:hint="eastAsia" w:ascii="仿宋_GB2312" w:hAnsi="仿宋_GB2312" w:eastAsia="仿宋_GB2312" w:cs="仿宋_GB2312"/>
          <w:color w:val="auto"/>
          <w:kern w:val="2"/>
          <w:sz w:val="32"/>
          <w:szCs w:val="40"/>
          <w:highlight w:val="none"/>
          <w:lang w:val="en-US" w:eastAsia="zh-CN" w:bidi="ar-SA"/>
        </w:rPr>
      </w:pPr>
      <w:r>
        <w:rPr>
          <w:rFonts w:hint="eastAsia" w:ascii="仿宋_GB2312" w:hAnsi="仿宋_GB2312" w:eastAsia="仿宋_GB2312" w:cs="仿宋_GB2312"/>
          <w:color w:val="auto"/>
          <w:kern w:val="2"/>
          <w:sz w:val="32"/>
          <w:szCs w:val="40"/>
          <w:highlight w:val="none"/>
          <w:lang w:val="en-US" w:eastAsia="zh-CN" w:bidi="ar-SA"/>
        </w:rPr>
        <w:t>你个人上述违法行为有内蒙古自治区伊金霍洛旗人民法院判决书、个人所得税申报缴纳情况等资料为证。</w:t>
      </w:r>
    </w:p>
    <w:p w14:paraId="4FA4E07C">
      <w:pPr>
        <w:widowControl w:val="0"/>
        <w:autoSpaceDE w:val="0"/>
        <w:autoSpaceDN w:val="0"/>
        <w:adjustRightInd w:val="0"/>
        <w:spacing w:line="560" w:lineRule="exact"/>
        <w:ind w:firstLine="640" w:firstLineChars="200"/>
        <w:jc w:val="both"/>
        <w:rPr>
          <w:rFonts w:hint="eastAsia" w:ascii="仿宋_GB2312" w:hAnsi="仿宋_GB2312" w:eastAsia="仿宋_GB2312" w:cs="仿宋_GB2312"/>
          <w:color w:val="auto"/>
          <w:kern w:val="2"/>
          <w:sz w:val="32"/>
          <w:szCs w:val="40"/>
          <w:highlight w:val="none"/>
          <w:lang w:val="en-US" w:eastAsia="zh-CN" w:bidi="ar-SA"/>
        </w:rPr>
      </w:pPr>
      <w:r>
        <w:rPr>
          <w:rFonts w:hint="eastAsia" w:ascii="仿宋_GB2312" w:hAnsi="仿宋_GB2312" w:eastAsia="仿宋_GB2312" w:cs="仿宋_GB2312"/>
          <w:color w:val="auto"/>
          <w:kern w:val="2"/>
          <w:sz w:val="32"/>
          <w:szCs w:val="40"/>
          <w:highlight w:val="none"/>
          <w:lang w:val="en-US" w:eastAsia="zh-CN" w:bidi="ar-SA"/>
        </w:rPr>
        <w:t>二、处理决定及依据</w:t>
      </w:r>
    </w:p>
    <w:p w14:paraId="1D0BCC67">
      <w:pPr>
        <w:widowControl w:val="0"/>
        <w:autoSpaceDE w:val="0"/>
        <w:autoSpaceDN w:val="0"/>
        <w:adjustRightInd w:val="0"/>
        <w:spacing w:line="560" w:lineRule="exact"/>
        <w:ind w:firstLine="640" w:firstLineChars="200"/>
        <w:jc w:val="both"/>
        <w:rPr>
          <w:rFonts w:hint="eastAsia" w:ascii="仿宋_GB2312" w:hAnsi="仿宋_GB2312" w:eastAsia="仿宋_GB2312" w:cs="仿宋_GB2312"/>
          <w:color w:val="auto"/>
          <w:kern w:val="2"/>
          <w:sz w:val="32"/>
          <w:szCs w:val="40"/>
          <w:highlight w:val="none"/>
          <w:lang w:val="en-US" w:eastAsia="zh-CN" w:bidi="ar-SA"/>
        </w:rPr>
      </w:pPr>
      <w:r>
        <w:rPr>
          <w:rFonts w:hint="eastAsia" w:ascii="仿宋_GB2312" w:hAnsi="仿宋_GB2312" w:eastAsia="仿宋_GB2312" w:cs="仿宋_GB2312"/>
          <w:color w:val="auto"/>
          <w:kern w:val="2"/>
          <w:sz w:val="32"/>
          <w:szCs w:val="40"/>
          <w:highlight w:val="none"/>
          <w:lang w:val="en-US" w:eastAsia="zh-CN" w:bidi="ar-SA"/>
        </w:rPr>
        <w:t>（一）个人所得税</w:t>
      </w:r>
    </w:p>
    <w:p w14:paraId="6F62A8EE">
      <w:pPr>
        <w:widowControl w:val="0"/>
        <w:autoSpaceDE w:val="0"/>
        <w:autoSpaceDN w:val="0"/>
        <w:adjustRightInd w:val="0"/>
        <w:spacing w:line="560" w:lineRule="exact"/>
        <w:ind w:firstLine="640" w:firstLineChars="200"/>
        <w:jc w:val="both"/>
        <w:rPr>
          <w:rFonts w:hint="eastAsia" w:ascii="仿宋_GB2312" w:hAnsi="仿宋_GB2312" w:eastAsia="仿宋_GB2312" w:cs="仿宋_GB2312"/>
          <w:color w:val="auto"/>
          <w:kern w:val="2"/>
          <w:sz w:val="32"/>
          <w:szCs w:val="40"/>
          <w:highlight w:val="none"/>
          <w:lang w:val="en-US" w:eastAsia="zh-CN" w:bidi="ar-SA"/>
        </w:rPr>
      </w:pPr>
      <w:r>
        <w:rPr>
          <w:rFonts w:hint="eastAsia" w:ascii="仿宋_GB2312" w:hAnsi="仿宋_GB2312" w:eastAsia="仿宋_GB2312" w:cs="仿宋_GB2312"/>
          <w:color w:val="auto"/>
          <w:kern w:val="2"/>
          <w:sz w:val="32"/>
          <w:szCs w:val="40"/>
          <w:highlight w:val="none"/>
          <w:lang w:val="en-US" w:eastAsia="zh-CN" w:bidi="ar-SA"/>
        </w:rPr>
        <w:t>根据《中华人民共和国个人所得税法》（中华人民共和国主席令第九号）第一条：“在中国境内有住所，或者无住所而一个纳税年度内在中国境内居住累计满一百八十三天的个人，为居民个人。居民个人从中国境内和境外取得的所得，依照本法规定缴纳个人所得税。”、第二条：“下列各项个人所得，应当缴纳个人所得税：(一)工资、薪金所得;(二)劳务报酬所得;(三)稿酬所得;(四)特许权使用费所得;(五)经营所得;(六)利息、股息、红利所得;(七)财产租赁所得;(八)财产转让所得;(九)偶然所得。</w:t>
      </w:r>
    </w:p>
    <w:p w14:paraId="17AFC83E">
      <w:pPr>
        <w:widowControl w:val="0"/>
        <w:autoSpaceDE w:val="0"/>
        <w:autoSpaceDN w:val="0"/>
        <w:adjustRightInd w:val="0"/>
        <w:spacing w:line="560" w:lineRule="exact"/>
        <w:ind w:firstLine="640" w:firstLineChars="200"/>
        <w:jc w:val="both"/>
        <w:rPr>
          <w:rFonts w:hint="eastAsia" w:ascii="仿宋_GB2312" w:hAnsi="仿宋_GB2312" w:eastAsia="仿宋_GB2312" w:cs="仿宋_GB2312"/>
          <w:color w:val="auto"/>
          <w:kern w:val="2"/>
          <w:sz w:val="32"/>
          <w:szCs w:val="40"/>
          <w:highlight w:val="none"/>
          <w:lang w:val="en-US" w:eastAsia="zh-CN" w:bidi="ar-SA"/>
        </w:rPr>
      </w:pPr>
      <w:r>
        <w:rPr>
          <w:rFonts w:hint="eastAsia" w:ascii="仿宋_GB2312" w:hAnsi="仿宋_GB2312" w:eastAsia="仿宋_GB2312" w:cs="仿宋_GB2312"/>
          <w:color w:val="auto"/>
          <w:kern w:val="2"/>
          <w:sz w:val="32"/>
          <w:szCs w:val="40"/>
          <w:highlight w:val="none"/>
          <w:lang w:val="en-US" w:eastAsia="zh-CN" w:bidi="ar-SA"/>
        </w:rPr>
        <w:t>居民个人取得前款第一项至第四项所得(以下称综合所得)，按纳税年度合并计算个人所得税;非居民个人取得前款第一项至第四项所得，按月或者按次分项计算个人所得税。纳税人取得前款第五项至第九项所得，依照本法规定分别计算个人所得税。”、第三条：“个人所得税的税率：(二)经营所得，适用百分之五至百分之三十五的超额累进税率(税率表附后);”、第六条：“应纳税所得额的计算：(三)经营所得，以每一纳税年度的收入总额减除成本、费用以及损失后的余额，为应纳税所得额。”、第十二条：“纳税人取得经营所得，按年计算个人所得税，由纳税人在月度或者季度终了后十五日内向税务机关报送纳税申报表，并预缴税款;在取得所得的次年三月三十一日前办理汇算清缴。”</w:t>
      </w:r>
    </w:p>
    <w:p w14:paraId="2FA22D37">
      <w:pPr>
        <w:widowControl w:val="0"/>
        <w:autoSpaceDE w:val="0"/>
        <w:autoSpaceDN w:val="0"/>
        <w:adjustRightInd w:val="0"/>
        <w:spacing w:line="560" w:lineRule="exact"/>
        <w:ind w:firstLine="640" w:firstLineChars="200"/>
        <w:jc w:val="both"/>
        <w:rPr>
          <w:rFonts w:hint="eastAsia" w:ascii="仿宋_GB2312" w:hAnsi="仿宋_GB2312" w:eastAsia="仿宋_GB2312" w:cs="仿宋_GB2312"/>
          <w:color w:val="auto"/>
          <w:kern w:val="2"/>
          <w:sz w:val="32"/>
          <w:szCs w:val="40"/>
          <w:highlight w:val="none"/>
          <w:lang w:val="en-US" w:eastAsia="zh-CN" w:bidi="ar-SA"/>
        </w:rPr>
      </w:pPr>
      <w:r>
        <w:rPr>
          <w:rFonts w:hint="eastAsia" w:ascii="仿宋_GB2312" w:hAnsi="仿宋_GB2312" w:eastAsia="仿宋_GB2312" w:cs="仿宋_GB2312"/>
          <w:color w:val="auto"/>
          <w:kern w:val="2"/>
          <w:sz w:val="32"/>
          <w:szCs w:val="40"/>
          <w:highlight w:val="none"/>
          <w:lang w:val="en-US" w:eastAsia="zh-CN" w:bidi="ar-SA"/>
        </w:rPr>
        <w:t xml:space="preserve">个人所得税税率表二(经营所得适用) </w:t>
      </w:r>
    </w:p>
    <w:p w14:paraId="61D6F1FE">
      <w:pPr>
        <w:widowControl w:val="0"/>
        <w:autoSpaceDE w:val="0"/>
        <w:autoSpaceDN w:val="0"/>
        <w:adjustRightInd w:val="0"/>
        <w:spacing w:line="560" w:lineRule="exact"/>
        <w:ind w:firstLine="640" w:firstLineChars="200"/>
        <w:jc w:val="both"/>
        <w:rPr>
          <w:rFonts w:hint="eastAsia" w:ascii="仿宋_GB2312" w:hAnsi="仿宋_GB2312" w:eastAsia="仿宋_GB2312" w:cs="仿宋_GB2312"/>
          <w:color w:val="auto"/>
          <w:kern w:val="2"/>
          <w:sz w:val="32"/>
          <w:szCs w:val="40"/>
          <w:highlight w:val="none"/>
          <w:lang w:val="en-US" w:eastAsia="zh-CN" w:bidi="ar-SA"/>
        </w:rPr>
      </w:pPr>
      <w:r>
        <w:rPr>
          <w:rFonts w:hint="eastAsia" w:ascii="仿宋_GB2312" w:hAnsi="仿宋_GB2312" w:eastAsia="仿宋_GB2312" w:cs="仿宋_GB2312"/>
          <w:color w:val="auto"/>
          <w:kern w:val="2"/>
          <w:sz w:val="32"/>
          <w:szCs w:val="40"/>
          <w:highlight w:val="none"/>
          <w:lang w:val="en-US" w:eastAsia="zh-CN" w:bidi="ar-SA"/>
        </w:rPr>
        <w:t xml:space="preserve">级数 全年应纳税所得额 税率(%) </w:t>
      </w:r>
    </w:p>
    <w:p w14:paraId="6CD4B9F4">
      <w:pPr>
        <w:widowControl w:val="0"/>
        <w:autoSpaceDE w:val="0"/>
        <w:autoSpaceDN w:val="0"/>
        <w:adjustRightInd w:val="0"/>
        <w:spacing w:line="560" w:lineRule="exact"/>
        <w:ind w:firstLine="640" w:firstLineChars="200"/>
        <w:jc w:val="both"/>
        <w:rPr>
          <w:rFonts w:hint="eastAsia" w:ascii="仿宋_GB2312" w:hAnsi="仿宋_GB2312" w:eastAsia="仿宋_GB2312" w:cs="仿宋_GB2312"/>
          <w:color w:val="auto"/>
          <w:kern w:val="2"/>
          <w:sz w:val="32"/>
          <w:szCs w:val="40"/>
          <w:highlight w:val="none"/>
          <w:lang w:val="en-US" w:eastAsia="zh-CN" w:bidi="ar-SA"/>
        </w:rPr>
      </w:pPr>
      <w:r>
        <w:rPr>
          <w:rFonts w:hint="eastAsia" w:ascii="仿宋_GB2312" w:hAnsi="仿宋_GB2312" w:eastAsia="仿宋_GB2312" w:cs="仿宋_GB2312"/>
          <w:color w:val="auto"/>
          <w:kern w:val="2"/>
          <w:sz w:val="32"/>
          <w:szCs w:val="40"/>
          <w:highlight w:val="none"/>
          <w:lang w:val="en-US" w:eastAsia="zh-CN" w:bidi="ar-SA"/>
        </w:rPr>
        <w:t xml:space="preserve">1 不超过30000元的 5 </w:t>
      </w:r>
    </w:p>
    <w:p w14:paraId="3A3DF039">
      <w:pPr>
        <w:widowControl w:val="0"/>
        <w:autoSpaceDE w:val="0"/>
        <w:autoSpaceDN w:val="0"/>
        <w:adjustRightInd w:val="0"/>
        <w:spacing w:line="560" w:lineRule="exact"/>
        <w:ind w:firstLine="640" w:firstLineChars="200"/>
        <w:jc w:val="both"/>
        <w:rPr>
          <w:rFonts w:hint="eastAsia" w:ascii="仿宋_GB2312" w:hAnsi="仿宋_GB2312" w:eastAsia="仿宋_GB2312" w:cs="仿宋_GB2312"/>
          <w:color w:val="auto"/>
          <w:kern w:val="2"/>
          <w:sz w:val="32"/>
          <w:szCs w:val="40"/>
          <w:highlight w:val="none"/>
          <w:lang w:val="en-US" w:eastAsia="zh-CN" w:bidi="ar-SA"/>
        </w:rPr>
      </w:pPr>
      <w:r>
        <w:rPr>
          <w:rFonts w:hint="eastAsia" w:ascii="仿宋_GB2312" w:hAnsi="仿宋_GB2312" w:eastAsia="仿宋_GB2312" w:cs="仿宋_GB2312"/>
          <w:color w:val="auto"/>
          <w:kern w:val="2"/>
          <w:sz w:val="32"/>
          <w:szCs w:val="40"/>
          <w:highlight w:val="none"/>
          <w:lang w:val="en-US" w:eastAsia="zh-CN" w:bidi="ar-SA"/>
        </w:rPr>
        <w:t xml:space="preserve">2 超过30000元至90000元的部分 10 </w:t>
      </w:r>
    </w:p>
    <w:p w14:paraId="264E3358">
      <w:pPr>
        <w:widowControl w:val="0"/>
        <w:autoSpaceDE w:val="0"/>
        <w:autoSpaceDN w:val="0"/>
        <w:adjustRightInd w:val="0"/>
        <w:spacing w:line="560" w:lineRule="exact"/>
        <w:ind w:firstLine="640" w:firstLineChars="200"/>
        <w:jc w:val="both"/>
        <w:rPr>
          <w:rFonts w:hint="eastAsia" w:ascii="仿宋_GB2312" w:hAnsi="仿宋_GB2312" w:eastAsia="仿宋_GB2312" w:cs="仿宋_GB2312"/>
          <w:color w:val="auto"/>
          <w:kern w:val="2"/>
          <w:sz w:val="32"/>
          <w:szCs w:val="40"/>
          <w:highlight w:val="none"/>
          <w:lang w:val="en-US" w:eastAsia="zh-CN" w:bidi="ar-SA"/>
        </w:rPr>
      </w:pPr>
      <w:r>
        <w:rPr>
          <w:rFonts w:hint="eastAsia" w:ascii="仿宋_GB2312" w:hAnsi="仿宋_GB2312" w:eastAsia="仿宋_GB2312" w:cs="仿宋_GB2312"/>
          <w:color w:val="auto"/>
          <w:kern w:val="2"/>
          <w:sz w:val="32"/>
          <w:szCs w:val="40"/>
          <w:highlight w:val="none"/>
          <w:lang w:val="en-US" w:eastAsia="zh-CN" w:bidi="ar-SA"/>
        </w:rPr>
        <w:t xml:space="preserve">3 超过90000元至300000元的部分 20 </w:t>
      </w:r>
    </w:p>
    <w:p w14:paraId="36127FD5">
      <w:pPr>
        <w:widowControl w:val="0"/>
        <w:autoSpaceDE w:val="0"/>
        <w:autoSpaceDN w:val="0"/>
        <w:adjustRightInd w:val="0"/>
        <w:spacing w:line="560" w:lineRule="exact"/>
        <w:ind w:firstLine="640" w:firstLineChars="200"/>
        <w:jc w:val="both"/>
        <w:rPr>
          <w:rFonts w:hint="eastAsia" w:ascii="仿宋_GB2312" w:hAnsi="仿宋_GB2312" w:eastAsia="仿宋_GB2312" w:cs="仿宋_GB2312"/>
          <w:color w:val="auto"/>
          <w:kern w:val="2"/>
          <w:sz w:val="32"/>
          <w:szCs w:val="40"/>
          <w:highlight w:val="none"/>
          <w:lang w:val="en-US" w:eastAsia="zh-CN" w:bidi="ar-SA"/>
        </w:rPr>
      </w:pPr>
      <w:r>
        <w:rPr>
          <w:rFonts w:hint="eastAsia" w:ascii="仿宋_GB2312" w:hAnsi="仿宋_GB2312" w:eastAsia="仿宋_GB2312" w:cs="仿宋_GB2312"/>
          <w:color w:val="auto"/>
          <w:kern w:val="2"/>
          <w:sz w:val="32"/>
          <w:szCs w:val="40"/>
          <w:highlight w:val="none"/>
          <w:lang w:val="en-US" w:eastAsia="zh-CN" w:bidi="ar-SA"/>
        </w:rPr>
        <w:t xml:space="preserve">4 超过300000元至500000元的部分 30 </w:t>
      </w:r>
    </w:p>
    <w:p w14:paraId="4D3BD6F0">
      <w:pPr>
        <w:widowControl w:val="0"/>
        <w:autoSpaceDE w:val="0"/>
        <w:autoSpaceDN w:val="0"/>
        <w:adjustRightInd w:val="0"/>
        <w:spacing w:line="560" w:lineRule="exact"/>
        <w:ind w:firstLine="640" w:firstLineChars="200"/>
        <w:jc w:val="both"/>
        <w:rPr>
          <w:rFonts w:hint="eastAsia" w:ascii="仿宋_GB2312" w:hAnsi="仿宋_GB2312" w:eastAsia="仿宋_GB2312" w:cs="仿宋_GB2312"/>
          <w:color w:val="auto"/>
          <w:kern w:val="2"/>
          <w:sz w:val="32"/>
          <w:szCs w:val="40"/>
          <w:highlight w:val="none"/>
          <w:lang w:val="en-US" w:eastAsia="zh-CN" w:bidi="ar-SA"/>
        </w:rPr>
      </w:pPr>
      <w:r>
        <w:rPr>
          <w:rFonts w:hint="eastAsia" w:ascii="仿宋_GB2312" w:hAnsi="仿宋_GB2312" w:eastAsia="仿宋_GB2312" w:cs="仿宋_GB2312"/>
          <w:color w:val="auto"/>
          <w:kern w:val="2"/>
          <w:sz w:val="32"/>
          <w:szCs w:val="40"/>
          <w:highlight w:val="none"/>
          <w:lang w:val="en-US" w:eastAsia="zh-CN" w:bidi="ar-SA"/>
        </w:rPr>
        <w:t xml:space="preserve">5超过500000元的部分 35 </w:t>
      </w:r>
    </w:p>
    <w:p w14:paraId="576FD6D7">
      <w:pPr>
        <w:widowControl w:val="0"/>
        <w:autoSpaceDE w:val="0"/>
        <w:autoSpaceDN w:val="0"/>
        <w:adjustRightInd w:val="0"/>
        <w:spacing w:line="560" w:lineRule="exact"/>
        <w:ind w:firstLine="640" w:firstLineChars="200"/>
        <w:jc w:val="both"/>
        <w:rPr>
          <w:rFonts w:hint="eastAsia" w:ascii="仿宋_GB2312" w:hAnsi="仿宋_GB2312" w:eastAsia="仿宋_GB2312" w:cs="仿宋_GB2312"/>
          <w:color w:val="auto"/>
          <w:kern w:val="2"/>
          <w:sz w:val="32"/>
          <w:szCs w:val="40"/>
          <w:highlight w:val="none"/>
          <w:lang w:val="en-US" w:eastAsia="zh-CN" w:bidi="ar-SA"/>
        </w:rPr>
      </w:pPr>
      <w:r>
        <w:rPr>
          <w:rFonts w:hint="eastAsia" w:ascii="仿宋_GB2312" w:hAnsi="仿宋_GB2312" w:eastAsia="仿宋_GB2312" w:cs="仿宋_GB2312"/>
          <w:color w:val="auto"/>
          <w:kern w:val="2"/>
          <w:sz w:val="32"/>
          <w:szCs w:val="40"/>
          <w:highlight w:val="none"/>
          <w:lang w:val="en-US" w:eastAsia="zh-CN" w:bidi="ar-SA"/>
        </w:rPr>
        <w:t xml:space="preserve">(注:本表所称全年应纳税所得额是指依照本法第六条的规定，以每一纳税年度的收入总额减除成本、费用以及损失后的余额。) </w:t>
      </w:r>
    </w:p>
    <w:p w14:paraId="4F90446E">
      <w:pPr>
        <w:widowControl w:val="0"/>
        <w:autoSpaceDE w:val="0"/>
        <w:autoSpaceDN w:val="0"/>
        <w:adjustRightInd w:val="0"/>
        <w:spacing w:line="560" w:lineRule="exact"/>
        <w:ind w:firstLine="640" w:firstLineChars="200"/>
        <w:jc w:val="both"/>
        <w:rPr>
          <w:rFonts w:hint="eastAsia" w:ascii="仿宋_GB2312" w:hAnsi="仿宋_GB2312" w:eastAsia="仿宋_GB2312" w:cs="仿宋_GB2312"/>
          <w:color w:val="auto"/>
          <w:kern w:val="2"/>
          <w:sz w:val="32"/>
          <w:szCs w:val="40"/>
          <w:highlight w:val="none"/>
          <w:lang w:val="en-US" w:eastAsia="zh-CN" w:bidi="ar-SA"/>
        </w:rPr>
      </w:pPr>
      <w:r>
        <w:rPr>
          <w:rFonts w:hint="eastAsia" w:ascii="仿宋_GB2312" w:hAnsi="仿宋_GB2312" w:eastAsia="仿宋_GB2312" w:cs="仿宋_GB2312"/>
          <w:color w:val="auto"/>
          <w:kern w:val="2"/>
          <w:sz w:val="32"/>
          <w:szCs w:val="40"/>
          <w:highlight w:val="none"/>
          <w:lang w:val="en-US" w:eastAsia="zh-CN" w:bidi="ar-SA"/>
        </w:rPr>
        <w:t>根据《国家税务总局内蒙古自治区税务局关于核定征收个人所得税有关问题的公告 》（国家税务总局内蒙古自治区税务局公告2018年第19号）：“三、凡临时取得生产、经营所得的个人，其经营所得采用核定征收率的方式征收个人所得税，征收率为1.3%。应纳税额计算公式：应纳税额=应税收入×征收率。前款所称的应税收入是临时取得生产、经营所得的个人申请按次开具发票的金额。”之规定。你在2020年应税收入为163,804.00元，应纳税额=163,804.00*1.3%=2,129.45元，应补缴个人所得税2,129.45元。</w:t>
      </w:r>
    </w:p>
    <w:p w14:paraId="7DE9EFF1">
      <w:pPr>
        <w:widowControl w:val="0"/>
        <w:autoSpaceDE w:val="0"/>
        <w:autoSpaceDN w:val="0"/>
        <w:adjustRightInd w:val="0"/>
        <w:spacing w:line="560" w:lineRule="exact"/>
        <w:ind w:firstLine="640" w:firstLineChars="200"/>
        <w:jc w:val="both"/>
        <w:rPr>
          <w:rFonts w:hint="eastAsia" w:ascii="仿宋_GB2312" w:hAnsi="仿宋_GB2312" w:eastAsia="仿宋_GB2312" w:cs="仿宋_GB2312"/>
          <w:color w:val="auto"/>
          <w:kern w:val="2"/>
          <w:sz w:val="32"/>
          <w:szCs w:val="40"/>
          <w:highlight w:val="none"/>
          <w:lang w:val="en-US" w:eastAsia="zh-CN" w:bidi="ar-SA"/>
        </w:rPr>
      </w:pPr>
      <w:r>
        <w:rPr>
          <w:rFonts w:hint="eastAsia" w:ascii="仿宋_GB2312" w:hAnsi="仿宋_GB2312" w:eastAsia="仿宋_GB2312" w:cs="仿宋_GB2312"/>
          <w:color w:val="auto"/>
          <w:kern w:val="2"/>
          <w:sz w:val="32"/>
          <w:szCs w:val="40"/>
          <w:highlight w:val="none"/>
          <w:lang w:val="en-US" w:eastAsia="zh-CN" w:bidi="ar-SA"/>
        </w:rPr>
        <w:t>（二）加收滞纳金</w:t>
      </w:r>
    </w:p>
    <w:p w14:paraId="5099F1B0">
      <w:pPr>
        <w:widowControl w:val="0"/>
        <w:autoSpaceDE w:val="0"/>
        <w:autoSpaceDN w:val="0"/>
        <w:adjustRightInd w:val="0"/>
        <w:spacing w:line="560" w:lineRule="exact"/>
        <w:ind w:firstLine="640" w:firstLineChars="200"/>
        <w:jc w:val="both"/>
        <w:rPr>
          <w:rFonts w:hint="eastAsia" w:ascii="仿宋_GB2312" w:hAnsi="仿宋_GB2312" w:eastAsia="仿宋_GB2312" w:cs="仿宋_GB2312"/>
          <w:color w:val="auto"/>
          <w:kern w:val="2"/>
          <w:sz w:val="32"/>
          <w:szCs w:val="40"/>
          <w:highlight w:val="none"/>
          <w:lang w:val="en-US" w:eastAsia="zh-CN" w:bidi="ar-SA"/>
        </w:rPr>
      </w:pPr>
      <w:r>
        <w:rPr>
          <w:rFonts w:hint="eastAsia" w:ascii="仿宋_GB2312" w:hAnsi="仿宋_GB2312" w:eastAsia="仿宋_GB2312" w:cs="仿宋_GB2312"/>
          <w:color w:val="auto"/>
          <w:kern w:val="2"/>
          <w:sz w:val="32"/>
          <w:szCs w:val="40"/>
          <w:highlight w:val="none"/>
          <w:lang w:val="en-US" w:eastAsia="zh-CN" w:bidi="ar-SA"/>
        </w:rPr>
        <w:t>根据《中华人民共和国税收征收管理法》（中华人民共和国主席令第49号）第三十二条：“纳税人未按照规定期限缴纳税款的，扣缴义务人未按照规定期限解缴税款的，税务机关除责令限期缴纳外，从滞纳税款之日起，按日加收滞纳税款万分之五的滞纳金。”以及根据《中华人民共和国税收征收管理法实施细则》(2002年9月7日中华</w:t>
      </w:r>
      <w:bookmarkStart w:id="2" w:name="_GoBack"/>
      <w:bookmarkEnd w:id="2"/>
      <w:r>
        <w:rPr>
          <w:rFonts w:hint="eastAsia" w:ascii="仿宋_GB2312" w:hAnsi="仿宋_GB2312" w:eastAsia="仿宋_GB2312" w:cs="仿宋_GB2312"/>
          <w:color w:val="auto"/>
          <w:kern w:val="2"/>
          <w:sz w:val="32"/>
          <w:szCs w:val="40"/>
          <w:highlight w:val="none"/>
          <w:lang w:val="en-US" w:eastAsia="zh-CN" w:bidi="ar-SA"/>
        </w:rPr>
        <w:t>人民共和国国务院令第362号)第七十五条：“税收征管法第三十二条规定的加收滞纳金的起止时间，为法律、行政法规规定或者税务机关依照法律、行政法规的规定确定的税款缴纳期限届满次日起至纳税人、扣缴义务人实际缴纳或者解缴税款之日止。”之规定，对你少缴的个人所得税税款，按日加收滞纳税款万分之五的滞纳金。</w:t>
      </w:r>
    </w:p>
    <w:p w14:paraId="6E8127FD">
      <w:pPr>
        <w:widowControl w:val="0"/>
        <w:autoSpaceDE w:val="0"/>
        <w:autoSpaceDN w:val="0"/>
        <w:adjustRightInd w:val="0"/>
        <w:spacing w:line="560" w:lineRule="exact"/>
        <w:ind w:firstLine="640" w:firstLineChars="200"/>
        <w:jc w:val="both"/>
        <w:rPr>
          <w:rFonts w:hint="eastAsia" w:ascii="仿宋_GB2312" w:hAnsi="仿宋_GB2312" w:eastAsia="仿宋_GB2312" w:cs="仿宋_GB2312"/>
          <w:color w:val="auto"/>
          <w:kern w:val="2"/>
          <w:sz w:val="32"/>
          <w:szCs w:val="40"/>
          <w:highlight w:val="none"/>
          <w:lang w:val="en-US" w:eastAsia="zh-CN" w:bidi="ar-SA"/>
        </w:rPr>
      </w:pPr>
      <w:r>
        <w:rPr>
          <w:rFonts w:hint="eastAsia" w:ascii="仿宋_GB2312" w:hAnsi="仿宋_GB2312" w:eastAsia="仿宋_GB2312" w:cs="仿宋_GB2312"/>
          <w:color w:val="auto"/>
          <w:kern w:val="2"/>
          <w:sz w:val="32"/>
          <w:szCs w:val="40"/>
          <w:highlight w:val="none"/>
          <w:lang w:val="en-US" w:eastAsia="zh-CN" w:bidi="ar-SA"/>
        </w:rPr>
        <w:t>综上，你在2020年应税收入为163,804.00元，应补缴个人所得税2,129.45元，并就上述税款按日加收万分之五的滞纳金。</w:t>
      </w:r>
    </w:p>
    <w:p w14:paraId="5EDE81CA">
      <w:pPr>
        <w:widowControl w:val="0"/>
        <w:autoSpaceDE w:val="0"/>
        <w:autoSpaceDN w:val="0"/>
        <w:adjustRightInd w:val="0"/>
        <w:spacing w:line="560" w:lineRule="exact"/>
        <w:ind w:firstLine="640" w:firstLineChars="200"/>
        <w:jc w:val="both"/>
        <w:rPr>
          <w:rFonts w:hint="eastAsia" w:ascii="仿宋_GB2312" w:hAnsi="仿宋_GB2312" w:eastAsia="仿宋_GB2312" w:cs="仿宋_GB2312"/>
          <w:color w:val="auto"/>
          <w:kern w:val="2"/>
          <w:sz w:val="32"/>
          <w:szCs w:val="40"/>
          <w:highlight w:val="none"/>
          <w:lang w:val="en-US" w:eastAsia="zh-CN" w:bidi="ar-SA"/>
        </w:rPr>
      </w:pPr>
    </w:p>
    <w:p w14:paraId="48431F94">
      <w:pPr>
        <w:widowControl w:val="0"/>
        <w:autoSpaceDE w:val="0"/>
        <w:autoSpaceDN w:val="0"/>
        <w:adjustRightInd w:val="0"/>
        <w:spacing w:line="560" w:lineRule="exact"/>
        <w:ind w:firstLine="640" w:firstLineChars="200"/>
        <w:jc w:val="both"/>
        <w:rPr>
          <w:rFonts w:hint="eastAsia" w:ascii="仿宋_GB2312" w:hAnsi="仿宋_GB2312" w:eastAsia="仿宋_GB2312" w:cs="仿宋_GB2312"/>
          <w:color w:val="auto"/>
          <w:kern w:val="2"/>
          <w:sz w:val="32"/>
          <w:szCs w:val="40"/>
          <w:highlight w:val="none"/>
          <w:lang w:val="en-US" w:eastAsia="zh-CN" w:bidi="ar-SA"/>
        </w:rPr>
      </w:pPr>
      <w:r>
        <w:rPr>
          <w:rFonts w:hint="eastAsia" w:ascii="仿宋_GB2312" w:hAnsi="仿宋_GB2312" w:eastAsia="仿宋_GB2312" w:cs="仿宋_GB2312"/>
          <w:color w:val="auto"/>
          <w:kern w:val="2"/>
          <w:sz w:val="32"/>
          <w:szCs w:val="40"/>
          <w:highlight w:val="none"/>
          <w:lang w:val="en-US" w:eastAsia="zh-CN" w:bidi="ar-SA"/>
        </w:rPr>
        <w:t>限你自接到本决定书之日起十五日内,到国家税务总局伊金霍洛旗税务局将税款和滞纳金缴纳入库，并按照规定进行相关账务调整。逾期未缴清的，将依照《中华人民共和国税收征收管理法》第四十条：“从事生产、经营的纳税人、扣缴义务人未按照规定的期限缴纳或者解缴税款，纳税担保人未按照规定的期限缴纳所担保的税款，由税务机关责令限期缴纳，逾期仍未缴纳的，经县以上税务局(分局)局长批准，税务机关可以采取下列强制执行措施:(一)书面通知其开户银行或者其他金融机构从其存款中扣缴税款;(二)扣押、查封、依法拍卖或者变卖其价值相当于应纳税款的商品、货物或者其他财产，以拍卖或者变卖所得抵缴税款。税务机关采取强制执行措施时，对前款所列纳税人、扣缴义务人、纳税担保人未缴纳的滞纳金同时强制执行。个人及其所扶养家属维持生活必需的住房和用品，不在强制执行措施的范围之内。”之规定采取强制执行措施。</w:t>
      </w:r>
    </w:p>
    <w:p w14:paraId="20B2462D">
      <w:pPr>
        <w:widowControl w:val="0"/>
        <w:autoSpaceDE w:val="0"/>
        <w:autoSpaceDN w:val="0"/>
        <w:adjustRightInd w:val="0"/>
        <w:spacing w:line="560" w:lineRule="exact"/>
        <w:ind w:firstLine="640" w:firstLineChars="200"/>
        <w:jc w:val="both"/>
        <w:rPr>
          <w:rFonts w:hint="eastAsia" w:ascii="仿宋_GB2312" w:hAnsi="仿宋_GB2312" w:eastAsia="仿宋_GB2312" w:cs="仿宋_GB2312"/>
          <w:color w:val="auto"/>
          <w:kern w:val="2"/>
          <w:sz w:val="32"/>
          <w:szCs w:val="40"/>
          <w:highlight w:val="none"/>
          <w:lang w:val="en-US" w:eastAsia="zh-CN" w:bidi="ar-SA"/>
        </w:rPr>
      </w:pPr>
      <w:r>
        <w:rPr>
          <w:rFonts w:hint="eastAsia" w:ascii="仿宋_GB2312" w:hAnsi="仿宋_GB2312" w:eastAsia="仿宋_GB2312" w:cs="仿宋_GB2312"/>
          <w:color w:val="auto"/>
          <w:kern w:val="2"/>
          <w:sz w:val="32"/>
          <w:szCs w:val="40"/>
          <w:highlight w:val="none"/>
          <w:lang w:val="en-US" w:eastAsia="zh-CN" w:bidi="ar-SA"/>
        </w:rPr>
        <w:t>你若同我局在纳税上有争议，必须先依照本决定的期限缴纳税款及滞纳金或者提供相应的担保，然后可自上述款项缴清或者提供相应担保被税务机关确认之日起六十日内依法向</w:t>
      </w:r>
      <w:bookmarkStart w:id="1" w:name="fyjgmc"/>
      <w:bookmarkEnd w:id="1"/>
      <w:r>
        <w:rPr>
          <w:rFonts w:hint="eastAsia" w:ascii="仿宋_GB2312" w:hAnsi="仿宋_GB2312" w:eastAsia="仿宋_GB2312" w:cs="仿宋_GB2312"/>
          <w:color w:val="auto"/>
          <w:kern w:val="2"/>
          <w:sz w:val="32"/>
          <w:szCs w:val="40"/>
          <w:highlight w:val="none"/>
          <w:lang w:val="en-US" w:eastAsia="zh-CN" w:bidi="ar-SA"/>
        </w:rPr>
        <w:t>国家税务总局鄂尔多斯市税务局申请行政复议。</w:t>
      </w:r>
    </w:p>
    <w:p w14:paraId="7A13BCF9">
      <w:pPr>
        <w:pStyle w:val="2"/>
        <w:jc w:val="both"/>
        <w:rPr>
          <w:rFonts w:hint="eastAsia" w:ascii="仿宋_GB2312" w:hAnsi="仿宋_GB2312" w:eastAsia="仿宋_GB2312" w:cs="仿宋_GB2312"/>
          <w:color w:val="auto"/>
          <w:kern w:val="2"/>
          <w:sz w:val="32"/>
          <w:szCs w:val="40"/>
          <w:highlight w:val="none"/>
          <w:lang w:val="en-US" w:eastAsia="zh-CN" w:bidi="ar-SA"/>
        </w:rPr>
      </w:pPr>
    </w:p>
    <w:p w14:paraId="12D8DC40">
      <w:pPr>
        <w:rPr>
          <w:rFonts w:hint="eastAsia"/>
          <w:lang w:val="en-US" w:eastAsia="zh-CN"/>
        </w:rPr>
      </w:pPr>
    </w:p>
    <w:p w14:paraId="4478063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right"/>
        <w:textAlignment w:val="auto"/>
        <w:rPr>
          <w:rFonts w:hint="eastAsia" w:ascii="仿宋_GB2312" w:hAnsi="仿宋_GB2312" w:eastAsia="仿宋_GB2312" w:cs="仿宋_GB2312"/>
          <w:color w:val="auto"/>
          <w:kern w:val="2"/>
          <w:sz w:val="32"/>
          <w:szCs w:val="40"/>
          <w:highlight w:val="none"/>
          <w:lang w:val="en-US" w:eastAsia="zh-CN" w:bidi="ar-SA"/>
        </w:rPr>
      </w:pPr>
      <w:r>
        <w:rPr>
          <w:rFonts w:hint="eastAsia" w:ascii="仿宋_GB2312" w:hAnsi="仿宋_GB2312" w:eastAsia="仿宋_GB2312" w:cs="仿宋_GB2312"/>
          <w:color w:val="auto"/>
          <w:kern w:val="2"/>
          <w:sz w:val="32"/>
          <w:szCs w:val="40"/>
          <w:highlight w:val="none"/>
          <w:lang w:val="en-US" w:eastAsia="zh-CN" w:bidi="ar-SA"/>
        </w:rPr>
        <w:t xml:space="preserve">国家税务总局鄂尔多斯市税务局第三稽查局 </w:t>
      </w:r>
    </w:p>
    <w:p w14:paraId="7234A98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kern w:val="2"/>
          <w:sz w:val="32"/>
          <w:szCs w:val="40"/>
          <w:highlight w:val="none"/>
          <w:lang w:val="en-GB" w:eastAsia="zh-CN" w:bidi="ar-SA"/>
        </w:rPr>
        <w:sectPr>
          <w:headerReference r:id="rId3" w:type="default"/>
          <w:footerReference r:id="rId4" w:type="default"/>
          <w:pgSz w:w="11906" w:h="16838"/>
          <w:pgMar w:top="1814" w:right="1474" w:bottom="1701" w:left="1588" w:header="851" w:footer="992" w:gutter="0"/>
          <w:pgNumType w:fmt="decimal"/>
          <w:cols w:space="425" w:num="1"/>
          <w:docGrid w:type="lines" w:linePitch="312" w:charSpace="0"/>
        </w:sectPr>
      </w:pPr>
      <w:r>
        <w:rPr>
          <w:rFonts w:hint="eastAsia" w:ascii="仿宋_GB2312" w:hAnsi="仿宋_GB2312" w:eastAsia="仿宋_GB2312" w:cs="仿宋_GB2312"/>
          <w:color w:val="auto"/>
          <w:kern w:val="2"/>
          <w:sz w:val="32"/>
          <w:szCs w:val="40"/>
          <w:highlight w:val="none"/>
          <w:lang w:val="en-US" w:eastAsia="zh-CN" w:bidi="ar-SA"/>
        </w:rPr>
        <w:t xml:space="preserve">                            2026年9月29日</w:t>
      </w:r>
    </w:p>
    <w:p w14:paraId="2BBCFD6C">
      <w:pPr>
        <w:spacing w:line="560" w:lineRule="exact"/>
        <w:jc w:val="left"/>
        <w:rPr>
          <w:rFonts w:hint="eastAsia" w:ascii="仿宋_GB2312" w:hAnsi="仿宋_GB2312" w:eastAsia="仿宋_GB2312" w:cs="仿宋_GB2312"/>
          <w:color w:val="auto"/>
          <w:kern w:val="2"/>
          <w:sz w:val="32"/>
          <w:szCs w:val="40"/>
          <w:highlight w:val="none"/>
          <w:lang w:val="en-US" w:eastAsia="zh-CN" w:bidi="ar-SA"/>
        </w:rPr>
      </w:pPr>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Cambria">
    <w:panose1 w:val="02040803050406030204"/>
    <w:charset w:val="00"/>
    <w:family w:val="roman"/>
    <w:pitch w:val="default"/>
    <w:sig w:usb0="E00006FF" w:usb1="4000045F" w:usb2="00000000" w:usb3="00000000" w:csb0="2000019F"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仿宋">
    <w:panose1 w:val="02010609060101010101"/>
    <w:charset w:val="86"/>
    <w:family w:val="modern"/>
    <w:pitch w:val="default"/>
    <w:sig w:usb0="800002BF" w:usb1="38CF7CFA" w:usb2="00000016" w:usb3="00000000" w:csb0="00040001" w:csb1="00000000"/>
  </w:font>
  <w:font w:name="仿宋-宋">
    <w:altName w:val="仿宋"/>
    <w:panose1 w:val="00000000000000000000"/>
    <w:charset w:val="00"/>
    <w:family w:val="roma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0372BF">
    <w:pPr>
      <w:pStyle w:val="7"/>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96FC4E">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2696FC4E">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32C79">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A6D55E">
    <w:pPr>
      <w:pStyle w:val="8"/>
      <w:jc w:val="right"/>
    </w:pPr>
    <w:r>
      <w:rPr>
        <w:rFonts w:hint="eastAsia" w:ascii="华文中宋" w:hAnsi="Calibri" w:eastAsia="华文中宋" w:cs="华文中宋"/>
        <w:color w:val="000000"/>
        <w:kern w:val="0"/>
        <w:sz w:val="44"/>
        <w:szCs w:val="52"/>
        <w:lang w:val="en-US" w:eastAsia="zh-CN" w:bidi="ar-SA"/>
      </w:rPr>
      <w:drawing>
        <wp:inline distT="0" distB="0" distL="114300" distR="114300">
          <wp:extent cx="476885" cy="476885"/>
          <wp:effectExtent l="0" t="0" r="18415" b="18415"/>
          <wp:docPr id="7" name="图片 7" descr="28ad1ffb0658cb48bbf119707adc6c0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28ad1ffb0658cb48bbf119707adc6c0f"/>
                  <pic:cNvPicPr>
                    <a:picLocks noChangeAspect="1"/>
                  </pic:cNvPicPr>
                </pic:nvPicPr>
                <pic:blipFill>
                  <a:blip r:embed="rId1"/>
                  <a:stretch>
                    <a:fillRect/>
                  </a:stretch>
                </pic:blipFill>
                <pic:spPr>
                  <a:xfrm>
                    <a:off x="0" y="0"/>
                    <a:ext cx="476885" cy="47688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FFF19F">
    <w:pPr>
      <w:pStyle w:val="8"/>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E85EC0"/>
    <w:rsid w:val="08DE539B"/>
    <w:rsid w:val="0CC30CCD"/>
    <w:rsid w:val="0CD61146"/>
    <w:rsid w:val="10010DE1"/>
    <w:rsid w:val="11B25AF4"/>
    <w:rsid w:val="154F2A0D"/>
    <w:rsid w:val="17884342"/>
    <w:rsid w:val="1A8C5728"/>
    <w:rsid w:val="1B8141D5"/>
    <w:rsid w:val="1FC82BD8"/>
    <w:rsid w:val="1FFF598F"/>
    <w:rsid w:val="219917E1"/>
    <w:rsid w:val="2488171E"/>
    <w:rsid w:val="2ACA6FBC"/>
    <w:rsid w:val="2AE72BBF"/>
    <w:rsid w:val="2D862EE9"/>
    <w:rsid w:val="33FC8D77"/>
    <w:rsid w:val="362F06E9"/>
    <w:rsid w:val="3B68392C"/>
    <w:rsid w:val="3FFCE76C"/>
    <w:rsid w:val="43E60E8A"/>
    <w:rsid w:val="4F826C6F"/>
    <w:rsid w:val="5AFE8CA1"/>
    <w:rsid w:val="6C7E71BC"/>
    <w:rsid w:val="6DBF3EF8"/>
    <w:rsid w:val="6EAC4C56"/>
    <w:rsid w:val="6F7FF51E"/>
    <w:rsid w:val="70052A73"/>
    <w:rsid w:val="709466F4"/>
    <w:rsid w:val="719F4758"/>
    <w:rsid w:val="76660CF5"/>
    <w:rsid w:val="77662D7B"/>
    <w:rsid w:val="788B3469"/>
    <w:rsid w:val="7B6F0FF9"/>
    <w:rsid w:val="7CEFCEA9"/>
    <w:rsid w:val="7E7E1636"/>
    <w:rsid w:val="8AFCD0DB"/>
    <w:rsid w:val="9EBA64C4"/>
    <w:rsid w:val="A6FE7BA8"/>
    <w:rsid w:val="B59109E2"/>
    <w:rsid w:val="BFDEC58B"/>
    <w:rsid w:val="D3FFAF01"/>
    <w:rsid w:val="E7F91771"/>
    <w:rsid w:val="EF7C2CDD"/>
    <w:rsid w:val="F74F5B93"/>
    <w:rsid w:val="FDBF77B3"/>
    <w:rsid w:val="FDC3A3D3"/>
    <w:rsid w:val="FDFD1A7B"/>
    <w:rsid w:val="FEDBAB40"/>
    <w:rsid w:val="FFA73B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line="560" w:lineRule="exact"/>
      <w:ind w:firstLine="0" w:firstLineChars="0"/>
      <w:outlineLvl w:val="0"/>
    </w:pPr>
    <w:rPr>
      <w:rFonts w:cs="Times New Roman"/>
      <w:bCs/>
      <w:kern w:val="44"/>
      <w:szCs w:val="44"/>
      <w:lang w:val="en-GB"/>
    </w:rPr>
  </w:style>
  <w:style w:type="paragraph" w:styleId="4">
    <w:name w:val="heading 2"/>
    <w:basedOn w:val="1"/>
    <w:next w:val="1"/>
    <w:unhideWhenUsed/>
    <w:qFormat/>
    <w:uiPriority w:val="0"/>
    <w:pPr>
      <w:spacing w:after="0" w:line="560" w:lineRule="exact"/>
      <w:ind w:left="198" w:leftChars="0" w:firstLine="1440" w:firstLineChars="200"/>
      <w:outlineLvl w:val="1"/>
    </w:pPr>
    <w:rPr>
      <w:rFonts w:ascii="Times New Roman" w:hAnsi="Times New Roman" w:eastAsia="仿宋_GB2312"/>
      <w:smallCaps/>
      <w:szCs w:val="28"/>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0"/>
    <w:pPr>
      <w:spacing w:before="240" w:after="60"/>
      <w:jc w:val="center"/>
      <w:outlineLvl w:val="0"/>
    </w:pPr>
    <w:rPr>
      <w:rFonts w:ascii="Cambria" w:hAnsi="Cambria"/>
      <w:b/>
      <w:bCs/>
      <w:sz w:val="32"/>
      <w:szCs w:val="32"/>
    </w:rPr>
  </w:style>
  <w:style w:type="paragraph" w:styleId="5">
    <w:name w:val="Body Text"/>
    <w:basedOn w:val="1"/>
    <w:qFormat/>
    <w:uiPriority w:val="1"/>
    <w:rPr>
      <w:rFonts w:ascii="宋体" w:hAnsi="宋体" w:eastAsia="宋体" w:cs="宋体"/>
      <w:sz w:val="32"/>
      <w:szCs w:val="32"/>
      <w:lang w:val="zh-CN" w:eastAsia="zh-CN" w:bidi="zh-CN"/>
    </w:rPr>
  </w:style>
  <w:style w:type="paragraph" w:styleId="6">
    <w:name w:val="Plain Text"/>
    <w:basedOn w:val="1"/>
    <w:semiHidden/>
    <w:qFormat/>
    <w:uiPriority w:val="0"/>
    <w:rPr>
      <w:rFonts w:ascii="宋体" w:hAnsi="Courier New" w:cs="Courier New"/>
      <w:szCs w:val="21"/>
    </w:rPr>
  </w:style>
  <w:style w:type="paragraph" w:styleId="7">
    <w:name w:val="footer"/>
    <w:basedOn w:val="1"/>
    <w:unhideWhenUsed/>
    <w:qFormat/>
    <w:uiPriority w:val="99"/>
    <w:pPr>
      <w:tabs>
        <w:tab w:val="center" w:pos="4153"/>
        <w:tab w:val="right" w:pos="8306"/>
      </w:tabs>
      <w:snapToGrid w:val="0"/>
      <w:jc w:val="left"/>
    </w:pPr>
    <w:rPr>
      <w:sz w:val="18"/>
      <w:szCs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customStyle="1" w:styleId="12">
    <w:name w:val="15"/>
    <w:basedOn w:val="11"/>
    <w:qFormat/>
    <w:uiPriority w:val="0"/>
    <w:rPr>
      <w:rFonts w:hint="default" w:ascii="Times New Roman" w:hAnsi="Times New Roman" w:cs="Times New Roman"/>
      <w:b/>
      <w:bCs/>
    </w:rPr>
  </w:style>
  <w:style w:type="paragraph" w:customStyle="1" w:styleId="13">
    <w:name w:val="Default"/>
    <w:qFormat/>
    <w:uiPriority w:val="0"/>
    <w:pPr>
      <w:widowControl w:val="0"/>
      <w:autoSpaceDE w:val="0"/>
      <w:autoSpaceDN w:val="0"/>
      <w:adjustRightInd w:val="0"/>
    </w:pPr>
    <w:rPr>
      <w:rFonts w:ascii="华文中宋" w:hAnsi="Calibri" w:eastAsia="华文中宋" w:cs="华文中宋"/>
      <w:color w:val="000000"/>
      <w:kern w:val="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4</TotalTime>
  <ScaleCrop>false</ScaleCrop>
  <LinksUpToDate>false</LinksUpToDate>
  <CharactersWithSpaces>0</CharactersWithSpaces>
  <Application>WPS Office_12.1.2.22550_F1E327BC-269C-435d-A152-05C5408002CA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2023-11-26T17:01:00Z</dcterms:created>
  <dc:creator>Administrator</dc:creator>
  <cp:lastModifiedBy>BGS</cp:lastModifiedBy>
  <cp:lastPrinted>2025-10-14T00:05:00Z</cp:lastPrinted>
  <dcterms:modified xsi:type="dcterms:W3CDTF">2026-10-13T15:12:03Z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2052-12.1.2.22550</vt:lpwstr>
  </property>
  <property fmtid="{D5CDD505-2E9C-101B-9397-08002B2CF9AE}" pid="3" name="ICV">
    <vt:lpwstr>04EFF43CBE6BCECBE2A2CD6A13DDCAEE_43</vt:lpwstr>
  </property>
</Properties>
</file>