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892DD4B">
      <w:pPr>
        <w:widowControl w:val="0"/>
        <w:autoSpaceDE w:val="0"/>
        <w:autoSpaceDN w:val="0"/>
        <w:adjustRightInd w:val="0"/>
        <w:spacing w:line="240" w:lineRule="auto"/>
        <w:jc w:val="center"/>
        <w:outlineLvl w:val="0"/>
        <w:rPr>
          <w:rFonts w:hint="eastAsia" w:ascii="华文中宋" w:hAnsi="Calibri" w:eastAsia="华文中宋" w:cs="华文中宋"/>
          <w:color w:val="000000"/>
          <w:kern w:val="0"/>
          <w:sz w:val="44"/>
          <w:szCs w:val="52"/>
          <w:lang w:val="en-US" w:eastAsia="zh-CN" w:bidi="ar-SA"/>
        </w:rPr>
      </w:pPr>
      <w:r>
        <w:rPr>
          <w:rFonts w:hint="eastAsia" w:ascii="华文中宋" w:hAnsi="Calibri" w:eastAsia="华文中宋" w:cs="华文中宋"/>
          <w:color w:val="000000"/>
          <w:kern w:val="0"/>
          <w:sz w:val="44"/>
          <w:szCs w:val="52"/>
          <w:lang w:val="en-US" w:eastAsia="zh-CN" w:bidi="ar-SA"/>
        </w:rPr>
        <w:t>国家税务总局鄂尔多斯市税务局</w:t>
      </w:r>
    </w:p>
    <w:p w14:paraId="008CF500">
      <w:pPr>
        <w:widowControl w:val="0"/>
        <w:autoSpaceDE w:val="0"/>
        <w:autoSpaceDN w:val="0"/>
        <w:adjustRightInd w:val="0"/>
        <w:jc w:val="center"/>
        <w:outlineLvl w:val="0"/>
        <w:rPr>
          <w:rFonts w:ascii="华文中宋" w:hAnsi="Calibri" w:eastAsia="华文中宋" w:cs="华文中宋"/>
          <w:color w:val="000000"/>
          <w:kern w:val="0"/>
          <w:sz w:val="44"/>
          <w:szCs w:val="52"/>
          <w:lang w:val="en-US" w:eastAsia="zh-CN" w:bidi="ar-SA"/>
        </w:rPr>
      </w:pPr>
      <w:r>
        <w:rPr>
          <w:rFonts w:hint="eastAsia" w:ascii="华文中宋" w:hAnsi="Calibri" w:eastAsia="华文中宋" w:cs="华文中宋"/>
          <w:color w:val="000000"/>
          <w:kern w:val="0"/>
          <w:sz w:val="44"/>
          <w:szCs w:val="52"/>
          <w:lang w:val="en-US" w:eastAsia="zh-CN" w:bidi="ar-SA"/>
        </w:rPr>
        <w:t>第三稽查局</w:t>
      </w:r>
    </w:p>
    <w:p w14:paraId="4B153BF4">
      <w:pPr>
        <w:keepNext w:val="0"/>
        <w:keepLines w:val="0"/>
        <w:pageBreakBefore w:val="0"/>
        <w:widowControl w:val="0"/>
        <w:kinsoku/>
        <w:wordWrap/>
        <w:overflowPunct/>
        <w:topLinePunct w:val="0"/>
        <w:autoSpaceDE w:val="0"/>
        <w:autoSpaceDN w:val="0"/>
        <w:bidi w:val="0"/>
        <w:adjustRightInd w:val="0"/>
        <w:snapToGrid/>
        <w:spacing w:line="360" w:lineRule="auto"/>
        <w:ind w:firstLine="1440" w:firstLineChars="200"/>
        <w:jc w:val="both"/>
        <w:textAlignment w:val="auto"/>
        <w:outlineLvl w:val="0"/>
        <w:rPr>
          <w:rFonts w:ascii="华文中宋" w:hAnsi="Calibri" w:eastAsia="华文中宋" w:cs="华文中宋"/>
          <w:color w:val="000000"/>
          <w:kern w:val="0"/>
          <w:sz w:val="72"/>
          <w:szCs w:val="72"/>
          <w:lang w:val="en-US" w:eastAsia="zh-CN" w:bidi="ar-SA"/>
        </w:rPr>
      </w:pPr>
      <w:r>
        <w:rPr>
          <w:rFonts w:hint="eastAsia" w:ascii="华文中宋" w:hAnsi="Calibri" w:eastAsia="华文中宋" w:cs="华文中宋"/>
          <w:color w:val="000000"/>
          <w:kern w:val="0"/>
          <w:sz w:val="72"/>
          <w:szCs w:val="72"/>
          <w:lang w:val="en-US" w:eastAsia="zh-CN" w:bidi="ar-SA"/>
        </w:rPr>
        <w:t>税务行政处罚决定书</w:t>
      </w:r>
    </w:p>
    <w:p w14:paraId="0C1BECEC">
      <w:pPr>
        <w:widowControl w:val="0"/>
        <w:autoSpaceDE w:val="0"/>
        <w:autoSpaceDN w:val="0"/>
        <w:adjustRightInd w:val="0"/>
        <w:jc w:val="center"/>
        <w:outlineLvl w:val="0"/>
        <w:rPr>
          <w:rFonts w:hint="eastAsia" w:ascii="仿宋_GB2312" w:hAnsi="仿宋_GB2312" w:eastAsia="仿宋_GB2312" w:cs="仿宋_GB2312"/>
          <w:color w:val="auto"/>
          <w:kern w:val="2"/>
          <w:sz w:val="32"/>
          <w:szCs w:val="40"/>
          <w:highlight w:val="none"/>
          <w:lang w:val="en-US" w:eastAsia="zh-CN" w:bidi="ar-SA"/>
        </w:rPr>
      </w:pPr>
      <w:bookmarkStart w:id="0" w:name="_GoBack"/>
      <w:bookmarkEnd w:id="0"/>
      <w:r>
        <w:rPr>
          <w:rFonts w:hint="eastAsia" w:ascii="仿宋_GB2312" w:hAnsi="仿宋_GB2312" w:eastAsia="仿宋_GB2312" w:cs="仿宋_GB2312"/>
          <w:color w:val="auto"/>
          <w:kern w:val="2"/>
          <w:sz w:val="32"/>
          <w:szCs w:val="40"/>
          <w:highlight w:val="none"/>
          <w:lang w:val="en-US" w:eastAsia="zh-CN" w:bidi="ar-SA"/>
        </w:rPr>
        <mc:AlternateContent>
          <mc:Choice Requires="wps">
            <w:drawing>
              <wp:anchor distT="0" distB="0" distL="114300" distR="114300" simplePos="0" relativeHeight="251659264" behindDoc="0" locked="0" layoutInCell="1" allowOverlap="1">
                <wp:simplePos x="0" y="0"/>
                <wp:positionH relativeFrom="column">
                  <wp:posOffset>-109220</wp:posOffset>
                </wp:positionH>
                <wp:positionV relativeFrom="paragraph">
                  <wp:posOffset>361950</wp:posOffset>
                </wp:positionV>
                <wp:extent cx="5687695" cy="0"/>
                <wp:effectExtent l="0" t="20320" r="8255" b="36830"/>
                <wp:wrapNone/>
                <wp:docPr id="4" name="自选图形 2"/>
                <wp:cNvGraphicFramePr/>
                <a:graphic xmlns:a="http://schemas.openxmlformats.org/drawingml/2006/main">
                  <a:graphicData uri="http://schemas.microsoft.com/office/word/2010/wordprocessingShape">
                    <wps:wsp>
                      <wps:cNvCnPr/>
                      <wps:spPr>
                        <a:xfrm>
                          <a:off x="0" y="0"/>
                          <a:ext cx="5687695" cy="0"/>
                        </a:xfrm>
                        <a:prstGeom prst="straightConnector1">
                          <a:avLst/>
                        </a:prstGeom>
                        <a:ln w="41275" cap="flat" cmpd="sng">
                          <a:solidFill>
                            <a:srgbClr val="000000"/>
                          </a:solidFill>
                          <a:prstDash val="solid"/>
                          <a:headEnd type="none" w="med" len="med"/>
                          <a:tailEnd type="none" w="med" len="med"/>
                        </a:ln>
                      </wps:spPr>
                      <wps:bodyPr/>
                    </wps:wsp>
                  </a:graphicData>
                </a:graphic>
              </wp:anchor>
            </w:drawing>
          </mc:Choice>
          <mc:Fallback>
            <w:pict>
              <v:shape id="自选图形 2" o:spid="_x0000_s1026" o:spt="32" type="#_x0000_t32" style="position:absolute;left:0pt;margin-left:-8.6pt;margin-top:28.5pt;height:0pt;width:447.85pt;z-index:251659264;mso-width-relative:page;mso-height-relative:page;" filled="f" stroked="t" coordsize="21600,21600" o:gfxdata="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">
                <v:fill on="f" focussize="0,0"/>
                <v:stroke weight="3.25pt" color="#000000" joinstyle="round"/>
                <v:imagedata o:title=""/>
                <o:lock v:ext="edit" aspectratio="f"/>
              </v:shape>
            </w:pict>
          </mc:Fallback>
        </mc:AlternateContent>
      </w:r>
      <w:r>
        <w:rPr>
          <w:rFonts w:hint="eastAsia" w:ascii="仿宋" w:hAnsi="仿宋" w:eastAsia="仿宋" w:cs="仿宋-宋"/>
          <w:color w:val="000000"/>
          <w:kern w:val="0"/>
          <w:sz w:val="32"/>
          <w:szCs w:val="32"/>
          <w:lang w:val="en-US" w:eastAsia="zh-CN" w:bidi="ar-SA"/>
        </w:rPr>
        <w:t>鄂税三稽罚〔2026〕8号</w:t>
      </w:r>
    </w:p>
    <w:p w14:paraId="525A6EBC">
      <w:pPr>
        <w:widowControl w:val="0"/>
        <w:autoSpaceDE w:val="0"/>
        <w:autoSpaceDN w:val="0"/>
        <w:adjustRightInd w:val="0"/>
        <w:spacing w:line="560" w:lineRule="exact"/>
        <w:rPr>
          <w:rFonts w:hint="eastAsia" w:ascii="仿宋_GB2312" w:hAnsi="仿宋_GB2312" w:eastAsia="仿宋_GB2312" w:cs="仿宋_GB2312"/>
          <w:color w:val="auto"/>
          <w:kern w:val="2"/>
          <w:sz w:val="32"/>
          <w:szCs w:val="40"/>
          <w:highlight w:val="none"/>
          <w:lang w:val="en-US" w:eastAsia="zh-CN" w:bidi="ar-SA"/>
        </w:rPr>
      </w:pPr>
      <w:r>
        <w:rPr>
          <w:rFonts w:hint="eastAsia" w:ascii="仿宋_GB2312" w:hAnsi="仿宋_GB2312" w:eastAsia="仿宋_GB2312" w:cs="仿宋_GB2312"/>
          <w:color w:val="auto"/>
          <w:kern w:val="2"/>
          <w:sz w:val="32"/>
          <w:szCs w:val="40"/>
          <w:highlight w:val="none"/>
          <w:lang w:val="en-US" w:eastAsia="zh-CN" w:bidi="ar-SA"/>
        </w:rPr>
        <w:t>田永利（纳税人识别号：152728********1219）：</w:t>
      </w:r>
    </w:p>
    <w:p w14:paraId="3D5DFAF6">
      <w:pPr>
        <w:widowControl w:val="0"/>
        <w:autoSpaceDE w:val="0"/>
        <w:autoSpaceDN w:val="0"/>
        <w:adjustRightInd w:val="0"/>
        <w:spacing w:line="560" w:lineRule="exact"/>
        <w:ind w:firstLine="640" w:firstLineChars="200"/>
        <w:rPr>
          <w:rFonts w:hint="eastAsia" w:ascii="仿宋" w:hAnsi="仿宋" w:eastAsia="仿宋" w:cs="仿宋-宋"/>
          <w:color w:val="000000"/>
          <w:kern w:val="0"/>
          <w:sz w:val="32"/>
          <w:szCs w:val="32"/>
          <w:lang w:val="en-US" w:eastAsia="zh-CN" w:bidi="ar-SA"/>
        </w:rPr>
      </w:pPr>
      <w:r>
        <w:rPr>
          <w:rFonts w:hint="eastAsia" w:ascii="仿宋" w:hAnsi="仿宋" w:eastAsia="仿宋" w:cs="仿宋-宋"/>
          <w:color w:val="000000"/>
          <w:kern w:val="0"/>
          <w:sz w:val="32"/>
          <w:szCs w:val="32"/>
          <w:lang w:val="en-US" w:eastAsia="zh-CN" w:bidi="ar-SA"/>
        </w:rPr>
        <w:t>我局于</w:t>
      </w:r>
      <w:r>
        <w:rPr>
          <w:rFonts w:hint="eastAsia" w:ascii="仿宋_GB2312" w:hAnsi="仿宋" w:eastAsia="仿宋_GB2312" w:cs="Times New Roman"/>
          <w:color w:val="auto"/>
          <w:sz w:val="32"/>
          <w:szCs w:val="32"/>
          <w:lang w:val="en-US" w:eastAsia="zh-CN"/>
        </w:rPr>
        <w:t>2025年6月16日</w:t>
      </w:r>
      <w:r>
        <w:rPr>
          <w:rFonts w:hint="eastAsia" w:ascii="仿宋" w:hAnsi="仿宋" w:eastAsia="仿宋" w:cs="仿宋-宋"/>
          <w:color w:val="000000"/>
          <w:kern w:val="0"/>
          <w:sz w:val="32"/>
          <w:szCs w:val="32"/>
          <w:lang w:val="en-US" w:eastAsia="zh-CN" w:bidi="ar-SA"/>
        </w:rPr>
        <w:t>起，对你</w:t>
      </w:r>
      <w:r>
        <w:rPr>
          <w:rFonts w:hint="eastAsia" w:ascii="仿宋_GB2312" w:hAnsi="仿宋" w:eastAsia="仿宋_GB2312" w:cs="Times New Roman"/>
          <w:color w:val="auto"/>
          <w:sz w:val="32"/>
          <w:szCs w:val="32"/>
          <w:lang w:val="en-US" w:eastAsia="zh-CN"/>
        </w:rPr>
        <w:t>2020年1月1日-2020年12月31日期间的涉税情况进行检查</w:t>
      </w:r>
      <w:r>
        <w:rPr>
          <w:rFonts w:hint="eastAsia" w:ascii="仿宋" w:hAnsi="仿宋" w:eastAsia="仿宋" w:cs="仿宋-宋"/>
          <w:color w:val="000000"/>
          <w:kern w:val="0"/>
          <w:sz w:val="32"/>
          <w:szCs w:val="32"/>
          <w:lang w:val="en-US" w:eastAsia="zh-CN" w:bidi="ar-SA"/>
        </w:rPr>
        <w:t>，确认你有如下违法事实，并作出如下处罚决定：</w:t>
      </w:r>
    </w:p>
    <w:p w14:paraId="56F593BB">
      <w:pPr>
        <w:keepNext/>
        <w:keepLines/>
        <w:widowControl w:val="0"/>
        <w:bidi w:val="0"/>
        <w:spacing w:line="560" w:lineRule="exact"/>
        <w:ind w:firstLine="640" w:firstLineChars="200"/>
        <w:jc w:val="both"/>
        <w:outlineLvl w:val="0"/>
        <w:rPr>
          <w:rFonts w:ascii="仿宋_GB2312" w:hAnsi="仿宋_GB2312" w:eastAsia="仿宋_GB2312" w:cs="Times New Roman"/>
          <w:bCs/>
          <w:kern w:val="44"/>
          <w:sz w:val="32"/>
          <w:szCs w:val="44"/>
          <w:lang w:val="en-GB" w:eastAsia="zh-CN" w:bidi="ar-SA"/>
        </w:rPr>
      </w:pPr>
      <w:r>
        <w:rPr>
          <w:rFonts w:hint="eastAsia" w:ascii="仿宋_GB2312" w:hAnsi="仿宋_GB2312" w:eastAsia="仿宋_GB2312" w:cs="Times New Roman"/>
          <w:bCs/>
          <w:kern w:val="44"/>
          <w:sz w:val="32"/>
          <w:szCs w:val="44"/>
          <w:lang w:val="en-GB" w:eastAsia="zh-CN" w:bidi="ar-SA"/>
        </w:rPr>
        <w:t>一、违法事实及证据</w:t>
      </w:r>
    </w:p>
    <w:p w14:paraId="2580DB45">
      <w:pPr>
        <w:widowControl w:val="0"/>
        <w:autoSpaceDE w:val="0"/>
        <w:autoSpaceDN w:val="0"/>
        <w:adjustRightInd w:val="0"/>
        <w:spacing w:line="560" w:lineRule="exact"/>
        <w:ind w:firstLine="640" w:firstLineChars="200"/>
        <w:jc w:val="both"/>
        <w:outlineLvl w:val="9"/>
        <w:rPr>
          <w:rFonts w:hint="eastAsia" w:ascii="Times New Roman" w:hAnsi="Times New Roman" w:eastAsia="仿宋_GB2312" w:cs="Times New Roman"/>
          <w:smallCaps/>
          <w:kern w:val="2"/>
          <w:sz w:val="32"/>
          <w:szCs w:val="28"/>
          <w:lang w:val="en-US" w:eastAsia="zh-CN" w:bidi="ar-SA"/>
        </w:rPr>
      </w:pPr>
      <w:r>
        <w:rPr>
          <w:rFonts w:hint="eastAsia" w:ascii="仿宋_GB2312" w:hAnsi="仿宋_GB2312" w:eastAsia="仿宋_GB2312" w:cs="Times New Roman"/>
          <w:sz w:val="32"/>
          <w:lang w:val="en-US" w:eastAsia="zh-CN"/>
        </w:rPr>
        <w:t>根据《税务处理决定书》（</w:t>
      </w:r>
      <w:r>
        <w:rPr>
          <w:rFonts w:hint="eastAsia" w:ascii="仿宋" w:hAnsi="仿宋" w:eastAsia="仿宋" w:cs="仿宋-宋"/>
          <w:color w:val="000000"/>
          <w:kern w:val="0"/>
          <w:sz w:val="32"/>
          <w:szCs w:val="32"/>
          <w:lang w:val="en-US" w:eastAsia="zh-CN" w:bidi="ar-SA"/>
        </w:rPr>
        <w:t>鄂税三稽处〔2026〕8号</w:t>
      </w:r>
      <w:r>
        <w:rPr>
          <w:rFonts w:hint="eastAsia" w:ascii="仿宋_GB2312" w:hAnsi="仿宋_GB2312" w:eastAsia="仿宋_GB2312" w:cs="Times New Roman"/>
          <w:sz w:val="32"/>
          <w:lang w:val="en-US" w:eastAsia="zh-CN"/>
        </w:rPr>
        <w:t>）认定</w:t>
      </w:r>
      <w:r>
        <w:rPr>
          <w:rFonts w:hint="eastAsia" w:ascii="Times New Roman" w:hAnsi="Times New Roman" w:eastAsia="仿宋_GB2312" w:cs="Times New Roman"/>
          <w:smallCaps/>
          <w:kern w:val="2"/>
          <w:sz w:val="32"/>
          <w:szCs w:val="28"/>
          <w:lang w:val="en-US" w:eastAsia="zh-CN" w:bidi="ar-SA"/>
        </w:rPr>
        <w:t>你存在以下违法事实：</w:t>
      </w:r>
    </w:p>
    <w:p w14:paraId="595C2111">
      <w:pPr>
        <w:keepNext w:val="0"/>
        <w:keepLines w:val="0"/>
        <w:pageBreakBefore w:val="0"/>
        <w:widowControl w:val="0"/>
        <w:kinsoku/>
        <w:wordWrap/>
        <w:overflowPunct/>
        <w:topLinePunct w:val="0"/>
        <w:autoSpaceDE/>
        <w:autoSpaceDN/>
        <w:bidi w:val="0"/>
        <w:adjustRightInd/>
        <w:snapToGrid/>
        <w:spacing w:line="360" w:lineRule="auto"/>
        <w:ind w:firstLine="640" w:firstLineChars="200"/>
        <w:jc w:val="both"/>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经查，你于2020年提供装修服务取得收入163,804.00元，未进行纳税申报。</w:t>
      </w:r>
    </w:p>
    <w:p w14:paraId="4C3F23AC">
      <w:pPr>
        <w:keepNext w:val="0"/>
        <w:keepLines w:val="0"/>
        <w:pageBreakBefore w:val="0"/>
        <w:widowControl w:val="0"/>
        <w:kinsoku/>
        <w:wordWrap/>
        <w:overflowPunct/>
        <w:topLinePunct w:val="0"/>
        <w:autoSpaceDE/>
        <w:autoSpaceDN/>
        <w:bidi w:val="0"/>
        <w:adjustRightInd/>
        <w:snapToGrid/>
        <w:spacing w:line="360" w:lineRule="auto"/>
        <w:ind w:firstLine="640" w:firstLineChars="200"/>
        <w:jc w:val="both"/>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根据举报内容显示，你于2020年6月承揽了举报人在伊金霍洛旗乌兰木伦镇的房屋装修事宜，并收取装修费共计290,000.00元，后于2021年你与举报人因装修产生纠纷诉讼至内蒙古自治区伊金霍洛旗人民法院，根据内蒙古自治区伊金霍洛旗人民法院出具的《民事判决书》（2021内0627民初303号）表明，你为举报人提供装修服务，并于2020年7月至9月分批次共计收到装修款项290,000.00元，但装修服务未完成双方即产生纠纷，经内蒙古华鼎工程造价有限公司鉴定，上述装修工程的总造价为163,804.00元，判决结果为你需一次性返还举报人装修款126,196.00元。</w:t>
      </w:r>
    </w:p>
    <w:p w14:paraId="06E5F214">
      <w:pPr>
        <w:keepNext w:val="0"/>
        <w:keepLines w:val="0"/>
        <w:pageBreakBefore w:val="0"/>
        <w:widowControl w:val="0"/>
        <w:kinsoku/>
        <w:wordWrap/>
        <w:overflowPunct/>
        <w:topLinePunct w:val="0"/>
        <w:autoSpaceDE/>
        <w:autoSpaceDN/>
        <w:bidi w:val="0"/>
        <w:adjustRightInd/>
        <w:snapToGrid/>
        <w:spacing w:line="360" w:lineRule="auto"/>
        <w:ind w:firstLine="640" w:firstLineChars="200"/>
        <w:jc w:val="both"/>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综上，你于2020年提供装修服务取得收入163,804.00元，未进行纳税申报。</w:t>
      </w:r>
    </w:p>
    <w:p w14:paraId="5086113E">
      <w:pPr>
        <w:keepNext/>
        <w:keepLines/>
        <w:widowControl w:val="0"/>
        <w:bidi w:val="0"/>
        <w:spacing w:line="560" w:lineRule="exact"/>
        <w:ind w:firstLine="640" w:firstLineChars="200"/>
        <w:jc w:val="both"/>
        <w:outlineLvl w:val="9"/>
        <w:rPr>
          <w:rFonts w:hint="eastAsia" w:ascii="仿宋_GB2312" w:hAnsi="仿宋_GB2312" w:eastAsia="仿宋_GB2312" w:cs="Times New Roman"/>
          <w:smallCaps/>
          <w:kern w:val="2"/>
          <w:sz w:val="32"/>
          <w:szCs w:val="28"/>
          <w:lang w:val="en-US" w:eastAsia="zh-CN" w:bidi="ar-SA"/>
        </w:rPr>
      </w:pPr>
      <w:r>
        <w:rPr>
          <w:rFonts w:hint="eastAsia" w:ascii="仿宋_GB2312" w:hAnsi="仿宋_GB2312" w:eastAsia="仿宋_GB2312" w:cs="仿宋_GB2312"/>
          <w:color w:val="auto"/>
          <w:sz w:val="32"/>
          <w:szCs w:val="32"/>
          <w:highlight w:val="none"/>
          <w:lang w:val="en-US" w:eastAsia="zh-CN"/>
        </w:rPr>
        <w:t>你个人上述违法行为有内蒙古自治区</w:t>
      </w:r>
      <w:r>
        <w:rPr>
          <w:rFonts w:hint="eastAsia" w:ascii="仿宋_GB2312" w:hAnsi="仿宋_GB2312" w:eastAsia="仿宋_GB2312" w:cs="仿宋_GB2312"/>
          <w:sz w:val="32"/>
          <w:szCs w:val="32"/>
          <w:lang w:val="en-US" w:eastAsia="zh-CN"/>
        </w:rPr>
        <w:t>伊金霍洛旗人民法院判决书、个人所得税申报缴纳情况</w:t>
      </w:r>
      <w:r>
        <w:rPr>
          <w:rFonts w:hint="eastAsia" w:ascii="仿宋_GB2312" w:hAnsi="仿宋_GB2312" w:eastAsia="仿宋_GB2312" w:cs="仿宋_GB2312"/>
          <w:color w:val="auto"/>
          <w:sz w:val="32"/>
          <w:szCs w:val="32"/>
          <w:highlight w:val="none"/>
          <w:lang w:val="en-US" w:eastAsia="zh-CN"/>
        </w:rPr>
        <w:t>等资料为证。</w:t>
      </w:r>
    </w:p>
    <w:p w14:paraId="3CCC6093">
      <w:pPr>
        <w:keepNext/>
        <w:keepLines/>
        <w:widowControl w:val="0"/>
        <w:bidi w:val="0"/>
        <w:spacing w:line="560" w:lineRule="exact"/>
        <w:ind w:left="0" w:leftChars="0" w:firstLine="640" w:firstLineChars="200"/>
        <w:jc w:val="both"/>
        <w:outlineLvl w:val="0"/>
        <w:rPr>
          <w:rFonts w:ascii="仿宋_GB2312" w:hAnsi="仿宋_GB2312" w:eastAsia="仿宋_GB2312" w:cs="Times New Roman"/>
          <w:bCs/>
          <w:kern w:val="44"/>
          <w:sz w:val="32"/>
          <w:szCs w:val="44"/>
          <w:lang w:val="en-GB" w:eastAsia="zh-CN" w:bidi="ar-SA"/>
        </w:rPr>
      </w:pPr>
      <w:r>
        <w:rPr>
          <w:rFonts w:hint="eastAsia" w:ascii="仿宋_GB2312" w:hAnsi="仿宋_GB2312" w:eastAsia="仿宋_GB2312" w:cs="Times New Roman"/>
          <w:bCs/>
          <w:kern w:val="44"/>
          <w:sz w:val="32"/>
          <w:szCs w:val="44"/>
          <w:lang w:val="en-GB" w:eastAsia="zh-CN" w:bidi="ar-SA"/>
        </w:rPr>
        <w:t>二、处罚决定</w:t>
      </w:r>
    </w:p>
    <w:p w14:paraId="18EF0A97">
      <w:pPr>
        <w:keepNext w:val="0"/>
        <w:keepLines w:val="0"/>
        <w:pageBreakBefore w:val="0"/>
        <w:widowControl w:val="0"/>
        <w:numPr>
          <w:ilvl w:val="0"/>
          <w:numId w:val="0"/>
        </w:numPr>
        <w:kinsoku/>
        <w:wordWrap/>
        <w:overflowPunct/>
        <w:topLinePunct w:val="0"/>
        <w:autoSpaceDE/>
        <w:autoSpaceDN/>
        <w:bidi w:val="0"/>
        <w:adjustRightInd w:val="0"/>
        <w:snapToGrid/>
        <w:spacing w:line="560" w:lineRule="exact"/>
        <w:ind w:firstLine="640" w:firstLineChars="200"/>
        <w:jc w:val="both"/>
        <w:textAlignment w:val="auto"/>
        <w:rPr>
          <w:rFonts w:hint="eastAsia" w:ascii="仿宋_GB2312" w:hAnsi="仿宋_GB2312" w:eastAsia="仿宋_GB2312" w:cs="仿宋_GB2312"/>
          <w:bCs/>
          <w:color w:val="auto"/>
          <w:kern w:val="2"/>
          <w:sz w:val="32"/>
          <w:szCs w:val="32"/>
          <w:highlight w:val="none"/>
          <w:lang w:val="en-US" w:eastAsia="zh-CN" w:bidi="ar-SA"/>
        </w:rPr>
      </w:pPr>
      <w:r>
        <w:rPr>
          <w:rFonts w:hint="eastAsia" w:ascii="仿宋_GB2312" w:hAnsi="仿宋_GB2312" w:eastAsia="仿宋_GB2312" w:cs="仿宋_GB2312"/>
          <w:bCs/>
          <w:color w:val="auto"/>
          <w:kern w:val="2"/>
          <w:sz w:val="32"/>
          <w:szCs w:val="32"/>
          <w:highlight w:val="none"/>
          <w:lang w:val="en-US" w:eastAsia="zh-CN" w:bidi="ar-SA"/>
        </w:rPr>
        <w:t>根据《中华人民共和国税收征收管理法》（2015年4月24日发布的主席令第二十三号修订）第六十四条第二款：“纳税人不进行纳税申报，不缴或者少缴应纳税款的，由税务机关追缴其不缴或者少缴的税款、滞纳金，并处不缴或者少缴的税款百分之五十以上五倍以下的罚款。”之规定，你上述行为属于不进行纳税申报，决定对你进行处罚。</w:t>
      </w:r>
    </w:p>
    <w:p w14:paraId="451BBF85">
      <w:pPr>
        <w:keepNext w:val="0"/>
        <w:keepLines w:val="0"/>
        <w:pageBreakBefore w:val="0"/>
        <w:widowControl w:val="0"/>
        <w:numPr>
          <w:ilvl w:val="0"/>
          <w:numId w:val="0"/>
        </w:numPr>
        <w:kinsoku/>
        <w:wordWrap/>
        <w:overflowPunct/>
        <w:topLinePunct w:val="0"/>
        <w:autoSpaceDE/>
        <w:autoSpaceDN/>
        <w:bidi w:val="0"/>
        <w:adjustRightInd w:val="0"/>
        <w:snapToGrid/>
        <w:spacing w:line="560" w:lineRule="exact"/>
        <w:ind w:firstLine="640" w:firstLineChars="200"/>
        <w:jc w:val="both"/>
        <w:textAlignment w:val="auto"/>
        <w:rPr>
          <w:rFonts w:hint="eastAsia" w:ascii="仿宋_GB2312" w:hAnsi="仿宋_GB2312" w:eastAsia="仿宋_GB2312" w:cs="仿宋_GB2312"/>
          <w:bCs/>
          <w:color w:val="auto"/>
          <w:kern w:val="2"/>
          <w:sz w:val="32"/>
          <w:szCs w:val="32"/>
          <w:highlight w:val="none"/>
          <w:lang w:val="en-US" w:eastAsia="zh-CN" w:bidi="ar-SA"/>
        </w:rPr>
      </w:pPr>
      <w:r>
        <w:rPr>
          <w:rFonts w:hint="eastAsia" w:ascii="仿宋_GB2312" w:hAnsi="仿宋_GB2312" w:eastAsia="仿宋_GB2312" w:cs="仿宋_GB2312"/>
          <w:bCs/>
          <w:color w:val="auto"/>
          <w:kern w:val="2"/>
          <w:sz w:val="32"/>
          <w:szCs w:val="32"/>
          <w:highlight w:val="none"/>
          <w:lang w:val="en-US" w:eastAsia="zh-CN" w:bidi="ar-SA"/>
        </w:rPr>
        <w:t>根据《内蒙古自治区国家税务局内蒙古自治区地方税务局关于发布〈内蒙古自治区税务行政处罚裁量基准〉的公告》（内蒙古自治区国家税务局内蒙古自治区地方税务局公告2017年第8号）：“三、违反纳税申报管理类(三)纳税人不进行纳税申报，不缴或者少缴应纳税款的。《中华人民共和国税收征收管理法》第六十四条第二款，由税务机关追缴其不缴或者少缴的税款、滞纳金，并处不缴或者少缴的税款百分之五十以上五倍以下的罚款。1.不缴或者少缴税款100万元以下的，处百分之五十以上一倍以下罚款；”之规定，决定对你个人不进行纳税申报造成少缴税款2,129.45元处以0.5倍罚款，即1,064.73元。</w:t>
      </w:r>
    </w:p>
    <w:p w14:paraId="7FCA1DF1">
      <w:pPr>
        <w:numPr>
          <w:ilvl w:val="0"/>
          <w:numId w:val="0"/>
        </w:numPr>
        <w:spacing w:line="560" w:lineRule="exact"/>
        <w:ind w:firstLine="640" w:firstLineChars="200"/>
        <w:jc w:val="left"/>
        <w:rPr>
          <w:rFonts w:hint="eastAsia" w:ascii="仿宋_GB2312" w:hAnsi="仿宋_GB2312" w:eastAsia="仿宋_GB2312" w:cs="仿宋_GB2312"/>
          <w:bCs/>
          <w:sz w:val="32"/>
          <w:szCs w:val="32"/>
          <w:lang w:val="en-US" w:eastAsia="zh-CN"/>
        </w:rPr>
      </w:pPr>
      <w:r>
        <w:rPr>
          <w:rFonts w:hint="eastAsia" w:ascii="仿宋_GB2312" w:hAnsi="仿宋_GB2312" w:eastAsia="仿宋_GB2312" w:cs="仿宋_GB2312"/>
          <w:bCs/>
          <w:color w:val="auto"/>
          <w:sz w:val="32"/>
          <w:szCs w:val="32"/>
          <w:highlight w:val="none"/>
          <w:lang w:val="en-US" w:eastAsia="zh-CN"/>
        </w:rPr>
        <w:t>综上所述，对你共处罚款1,064.73元</w:t>
      </w:r>
      <w:r>
        <w:rPr>
          <w:rFonts w:hint="eastAsia" w:ascii="仿宋_GB2312" w:hAnsi="仿宋_GB2312" w:eastAsia="仿宋_GB2312" w:cs="仿宋_GB2312"/>
          <w:bCs/>
          <w:sz w:val="32"/>
          <w:szCs w:val="32"/>
          <w:lang w:val="en-US" w:eastAsia="zh-CN"/>
        </w:rPr>
        <w:t>。</w:t>
      </w:r>
    </w:p>
    <w:p w14:paraId="5E13D6FB">
      <w:pPr>
        <w:spacing w:line="560" w:lineRule="exact"/>
        <w:ind w:left="0" w:leftChars="0" w:firstLine="0" w:firstLineChars="0"/>
        <w:rPr>
          <w:rFonts w:ascii="仿宋_GB2312" w:hAnsi="仿宋_GB2312" w:eastAsia="仿宋_GB2312" w:cs="Times New Roman"/>
          <w:sz w:val="32"/>
          <w:szCs w:val="22"/>
        </w:rPr>
      </w:pPr>
    </w:p>
    <w:p w14:paraId="0B3F1495">
      <w:pPr>
        <w:spacing w:line="560" w:lineRule="exact"/>
        <w:ind w:left="0" w:leftChars="0" w:firstLine="640" w:firstLineChars="200"/>
        <w:rPr>
          <w:rFonts w:ascii="仿宋_GB2312" w:hAnsi="仿宋_GB2312" w:eastAsia="仿宋_GB2312" w:cs="Times New Roman"/>
          <w:color w:val="auto"/>
          <w:sz w:val="32"/>
          <w:szCs w:val="22"/>
        </w:rPr>
      </w:pPr>
      <w:r>
        <w:rPr>
          <w:rFonts w:hint="eastAsia" w:ascii="仿宋_GB2312" w:hAnsi="仿宋_GB2312" w:eastAsia="仿宋_GB2312" w:cs="Times New Roman"/>
          <w:color w:val="auto"/>
          <w:sz w:val="32"/>
          <w:szCs w:val="22"/>
        </w:rPr>
        <w:t>以上应缴款项金额共计</w:t>
      </w:r>
      <w:r>
        <w:rPr>
          <w:rFonts w:hint="eastAsia" w:ascii="仿宋_GB2312" w:hAnsi="仿宋_GB2312" w:eastAsia="仿宋_GB2312" w:cs="仿宋_GB2312"/>
          <w:bCs/>
          <w:color w:val="auto"/>
          <w:sz w:val="32"/>
          <w:szCs w:val="32"/>
          <w:highlight w:val="none"/>
          <w:lang w:val="en-US" w:eastAsia="zh-CN"/>
        </w:rPr>
        <w:t>1,064.73</w:t>
      </w:r>
      <w:r>
        <w:rPr>
          <w:rFonts w:hint="eastAsia" w:ascii="仿宋_GB2312" w:hAnsi="仿宋_GB2312" w:eastAsia="仿宋_GB2312" w:cs="Times New Roman"/>
          <w:color w:val="auto"/>
          <w:sz w:val="32"/>
          <w:szCs w:val="22"/>
        </w:rPr>
        <w:t>元，限你自本决定书送达之日起十五日内到国家税务总局</w:t>
      </w:r>
      <w:r>
        <w:rPr>
          <w:rFonts w:hint="eastAsia" w:ascii="仿宋_GB2312" w:hAnsi="仿宋_GB2312" w:eastAsia="仿宋_GB2312" w:cs="Times New Roman"/>
          <w:color w:val="auto"/>
          <w:sz w:val="32"/>
          <w:szCs w:val="22"/>
          <w:lang w:val="en-US" w:eastAsia="zh-CN"/>
        </w:rPr>
        <w:t>伊金霍洛旗</w:t>
      </w:r>
      <w:r>
        <w:rPr>
          <w:rFonts w:hint="eastAsia" w:ascii="仿宋_GB2312" w:hAnsi="仿宋_GB2312" w:eastAsia="仿宋_GB2312" w:cs="Times New Roman"/>
          <w:color w:val="auto"/>
          <w:sz w:val="32"/>
          <w:szCs w:val="22"/>
        </w:rPr>
        <w:t>税务局缴纳入库（账号：</w:t>
      </w:r>
      <w:r>
        <w:rPr>
          <w:rFonts w:hint="eastAsia" w:ascii="仿宋_GB2312" w:hAnsi="仿宋_GB2312" w:eastAsia="仿宋_GB2312" w:cs="Times New Roman"/>
          <w:color w:val="auto"/>
          <w:sz w:val="32"/>
          <w:szCs w:val="22"/>
          <w:lang w:val="en-US" w:eastAsia="zh-CN"/>
        </w:rPr>
        <w:t>051007000004278001</w:t>
      </w:r>
      <w:r>
        <w:rPr>
          <w:rFonts w:hint="eastAsia" w:ascii="仿宋_GB2312" w:hAnsi="仿宋_GB2312" w:eastAsia="仿宋_GB2312" w:cs="Times New Roman"/>
          <w:color w:val="auto"/>
          <w:sz w:val="32"/>
          <w:szCs w:val="22"/>
        </w:rPr>
        <w:t>）</w:t>
      </w:r>
      <w:r>
        <w:rPr>
          <w:rFonts w:hint="eastAsia" w:ascii="仿宋_GB2312" w:hAnsi="仿宋_GB2312" w:eastAsia="仿宋_GB2312" w:cs="Times New Roman"/>
          <w:color w:val="auto"/>
          <w:sz w:val="32"/>
          <w:szCs w:val="22"/>
          <w:highlight w:val="none"/>
        </w:rPr>
        <w:t>。到期不缴纳罚款，我局可依照《中华人民共和国行政处罚法》第七十二条第一款第（一）项规定，每日按罚款数额的百分之三加处罚款。</w:t>
      </w:r>
    </w:p>
    <w:p w14:paraId="47994730">
      <w:pPr>
        <w:bidi w:val="0"/>
        <w:spacing w:line="560" w:lineRule="exact"/>
        <w:ind w:firstLine="640" w:firstLineChars="200"/>
        <w:rPr>
          <w:rFonts w:ascii="仿宋_GB2312" w:hAnsi="仿宋_GB2312" w:eastAsia="仿宋_GB2312" w:cs="Times New Roman"/>
          <w:color w:val="auto"/>
          <w:sz w:val="32"/>
          <w:szCs w:val="22"/>
        </w:rPr>
      </w:pPr>
      <w:r>
        <w:rPr>
          <w:rFonts w:hint="eastAsia" w:ascii="仿宋_GB2312" w:hAnsi="仿宋_GB2312" w:eastAsia="仿宋_GB2312" w:cs="Times New Roman"/>
          <w:color w:val="auto"/>
          <w:sz w:val="32"/>
          <w:szCs w:val="22"/>
        </w:rPr>
        <w:t>如对本处罚决定不服，可以自本决定书送达之日起六十日内依法向国家税务总局</w:t>
      </w:r>
      <w:r>
        <w:rPr>
          <w:rFonts w:hint="eastAsia" w:ascii="仿宋_GB2312" w:hAnsi="仿宋_GB2312" w:eastAsia="仿宋_GB2312" w:cs="Times New Roman"/>
          <w:color w:val="auto"/>
          <w:sz w:val="32"/>
          <w:szCs w:val="22"/>
          <w:lang w:val="en-US" w:eastAsia="zh-CN"/>
        </w:rPr>
        <w:t>鄂尔多斯市税务局</w:t>
      </w:r>
      <w:r>
        <w:rPr>
          <w:rFonts w:hint="eastAsia" w:ascii="仿宋_GB2312" w:hAnsi="仿宋_GB2312" w:eastAsia="仿宋_GB2312" w:cs="Times New Roman"/>
          <w:color w:val="auto"/>
          <w:sz w:val="32"/>
          <w:szCs w:val="22"/>
        </w:rPr>
        <w:t>申请行政复议，也可以自本决定书送达之日起六个月内依法向人民法院提起行政诉讼。逾期不申请行政复议也不向人民法院起诉、又不履行的，我局将依照《中华人民共和国税收征收管理法》第四十条、第八十八条第三款，以及《中华人民共和国行政强制法》第二条、第十二条之规定强制执行，或者申请人民法院强制执行。</w:t>
      </w:r>
    </w:p>
    <w:p w14:paraId="36FDB5CF">
      <w:pPr>
        <w:widowControl w:val="0"/>
        <w:autoSpaceDE w:val="0"/>
        <w:autoSpaceDN w:val="0"/>
        <w:adjustRightInd w:val="0"/>
        <w:spacing w:line="560" w:lineRule="exact"/>
        <w:ind w:firstLine="640" w:firstLineChars="200"/>
        <w:rPr>
          <w:rFonts w:ascii="仿宋" w:hAnsi="仿宋" w:eastAsia="仿宋" w:cs="黑体-宋"/>
          <w:color w:val="000000"/>
          <w:kern w:val="0"/>
          <w:sz w:val="32"/>
          <w:szCs w:val="32"/>
          <w:lang w:val="en-US" w:eastAsia="zh-CN" w:bidi="ar-SA"/>
        </w:rPr>
      </w:pPr>
    </w:p>
    <w:p w14:paraId="39501D6F">
      <w:pPr>
        <w:widowControl w:val="0"/>
        <w:autoSpaceDE w:val="0"/>
        <w:autoSpaceDN w:val="0"/>
        <w:adjustRightInd w:val="0"/>
        <w:spacing w:line="560" w:lineRule="exact"/>
        <w:ind w:firstLine="640" w:firstLineChars="200"/>
        <w:rPr>
          <w:rFonts w:ascii="仿宋" w:hAnsi="仿宋" w:eastAsia="仿宋" w:cs="黑体-宋"/>
          <w:color w:val="000000"/>
          <w:kern w:val="0"/>
          <w:sz w:val="32"/>
          <w:szCs w:val="32"/>
          <w:lang w:val="en-US" w:eastAsia="zh-CN" w:bidi="ar-SA"/>
        </w:rPr>
      </w:pPr>
    </w:p>
    <w:p w14:paraId="4C0788DB">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40" w:firstLineChars="200"/>
        <w:jc w:val="right"/>
        <w:textAlignment w:val="auto"/>
        <w:rPr>
          <w:rFonts w:hint="eastAsia" w:ascii="仿宋_GB2312" w:hAnsi="仿宋_GB2312" w:eastAsia="仿宋_GB2312" w:cs="仿宋_GB2312"/>
          <w:color w:val="auto"/>
          <w:kern w:val="2"/>
          <w:sz w:val="32"/>
          <w:szCs w:val="40"/>
          <w:highlight w:val="none"/>
          <w:lang w:val="en-US" w:eastAsia="zh-CN" w:bidi="ar-SA"/>
        </w:rPr>
      </w:pPr>
      <w:r>
        <w:rPr>
          <w:rFonts w:hint="eastAsia" w:ascii="仿宋_GB2312" w:hAnsi="仿宋_GB2312" w:eastAsia="仿宋_GB2312" w:cs="仿宋_GB2312"/>
          <w:color w:val="auto"/>
          <w:kern w:val="2"/>
          <w:sz w:val="32"/>
          <w:szCs w:val="40"/>
          <w:highlight w:val="none"/>
          <w:lang w:val="en-US" w:eastAsia="zh-CN" w:bidi="ar-SA"/>
        </w:rPr>
        <w:t xml:space="preserve">国家税务总局鄂尔多斯市税务局第三稽查局 </w:t>
      </w:r>
    </w:p>
    <w:p w14:paraId="2BBCFD6C">
      <w:pPr>
        <w:spacing w:line="560" w:lineRule="exact"/>
        <w:jc w:val="left"/>
        <w:rPr>
          <w:rFonts w:hint="eastAsia" w:ascii="仿宋_GB2312" w:hAnsi="仿宋_GB2312" w:eastAsia="仿宋_GB2312" w:cs="仿宋_GB2312"/>
          <w:color w:val="auto"/>
          <w:kern w:val="2"/>
          <w:sz w:val="32"/>
          <w:szCs w:val="40"/>
          <w:highlight w:val="none"/>
          <w:lang w:val="en-US" w:eastAsia="zh-CN" w:bidi="ar-SA"/>
        </w:rPr>
      </w:pPr>
      <w:r>
        <w:rPr>
          <w:rFonts w:hint="eastAsia" w:ascii="仿宋_GB2312" w:hAnsi="仿宋_GB2312" w:eastAsia="仿宋_GB2312" w:cs="仿宋_GB2312"/>
          <w:color w:val="auto"/>
          <w:kern w:val="2"/>
          <w:sz w:val="32"/>
          <w:szCs w:val="40"/>
          <w:highlight w:val="none"/>
          <w:lang w:val="en-US" w:eastAsia="zh-CN" w:bidi="ar-SA"/>
        </w:rPr>
        <w:t xml:space="preserve">                            2026年9月29日</w:t>
      </w:r>
    </w:p>
    <w:sectPr>
      <w:headerReference r:id="rId3" w:type="default"/>
      <w:footerReference r:id="rId4"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auto"/>
    <w:pitch w:val="default"/>
    <w:sig w:usb0="E0002AFF" w:usb1="C0007841"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书宋_GBK">
    <w:panose1 w:val="02000000000000000000"/>
    <w:charset w:val="86"/>
    <w:family w:val="auto"/>
    <w:pitch w:val="default"/>
    <w:sig w:usb0="00000001" w:usb1="0800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Cambria">
    <w:panose1 w:val="02040803050406030204"/>
    <w:charset w:val="00"/>
    <w:family w:val="roman"/>
    <w:pitch w:val="default"/>
    <w:sig w:usb0="E00006FF" w:usb1="4000045F" w:usb2="00000000" w:usb3="00000000" w:csb0="2000019F" w:csb1="00000000"/>
  </w:font>
  <w:font w:name="华文中宋">
    <w:altName w:val="汉仪中宋简"/>
    <w:panose1 w:val="02010600040101010101"/>
    <w:charset w:val="86"/>
    <w:family w:val="auto"/>
    <w:pitch w:val="default"/>
    <w:sig w:usb0="00000000" w:usb1="00000000" w:usb2="00000000" w:usb3="00000000" w:csb0="0004009F" w:csb1="DFD70000"/>
  </w:font>
  <w:font w:name="汉仪中宋简">
    <w:panose1 w:val="02010600000101010101"/>
    <w:charset w:val="86"/>
    <w:family w:val="auto"/>
    <w:pitch w:val="default"/>
    <w:sig w:usb0="00000001" w:usb1="080E0800" w:usb2="00000002" w:usb3="00000000" w:csb0="00040000" w:csb1="00000000"/>
  </w:font>
  <w:font w:name="仿宋">
    <w:panose1 w:val="02010609060101010101"/>
    <w:charset w:val="86"/>
    <w:family w:val="modern"/>
    <w:pitch w:val="default"/>
    <w:sig w:usb0="800002BF" w:usb1="38CF7CFA" w:usb2="00000016" w:usb3="00000000" w:csb0="00040001" w:csb1="00000000"/>
  </w:font>
  <w:font w:name="仿宋-宋">
    <w:altName w:val="仿宋"/>
    <w:panose1 w:val="00000000000000000000"/>
    <w:charset w:val="00"/>
    <w:family w:val="roman"/>
    <w:pitch w:val="default"/>
    <w:sig w:usb0="00000000" w:usb1="00000000" w:usb2="00000010" w:usb3="00000000" w:csb0="00040000" w:csb1="00000000"/>
  </w:font>
  <w:font w:name="黑体-宋">
    <w:altName w:val="方正书宋_GBK"/>
    <w:panose1 w:val="00000000000000000000"/>
    <w:charset w:val="86"/>
    <w:family w:val="swiss"/>
    <w:pitch w:val="default"/>
    <w:sig w:usb0="00000000" w:usb1="00000000" w:usb2="0000001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F32C79">
    <w:pPr>
      <w:pStyle w:val="7"/>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FFF19F">
    <w:pPr>
      <w:pStyle w:val="8"/>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5E85EC0"/>
    <w:rsid w:val="08DE539B"/>
    <w:rsid w:val="0CC30CCD"/>
    <w:rsid w:val="0CD61146"/>
    <w:rsid w:val="10010DE1"/>
    <w:rsid w:val="11B25AF4"/>
    <w:rsid w:val="154F2A0D"/>
    <w:rsid w:val="17884342"/>
    <w:rsid w:val="1A8C5728"/>
    <w:rsid w:val="1B8141D5"/>
    <w:rsid w:val="1FC82BD8"/>
    <w:rsid w:val="1FFF598F"/>
    <w:rsid w:val="219917E1"/>
    <w:rsid w:val="2488171E"/>
    <w:rsid w:val="2ACA6FBC"/>
    <w:rsid w:val="2AE72BBF"/>
    <w:rsid w:val="2D862EE9"/>
    <w:rsid w:val="33FC8D77"/>
    <w:rsid w:val="362F06E9"/>
    <w:rsid w:val="3B68392C"/>
    <w:rsid w:val="3FFCE76C"/>
    <w:rsid w:val="43E60E8A"/>
    <w:rsid w:val="4F826C6F"/>
    <w:rsid w:val="5AFE8CA1"/>
    <w:rsid w:val="6C7E71BC"/>
    <w:rsid w:val="6DBF3EF8"/>
    <w:rsid w:val="6EAC4C56"/>
    <w:rsid w:val="6F7FF51E"/>
    <w:rsid w:val="70052A73"/>
    <w:rsid w:val="709466F4"/>
    <w:rsid w:val="719F4758"/>
    <w:rsid w:val="76660CF5"/>
    <w:rsid w:val="77662D7B"/>
    <w:rsid w:val="788B3469"/>
    <w:rsid w:val="7CEFCEA9"/>
    <w:rsid w:val="7E7E1636"/>
    <w:rsid w:val="8AFCD0DB"/>
    <w:rsid w:val="9EBA64C4"/>
    <w:rsid w:val="A6FE7BA8"/>
    <w:rsid w:val="B59109E2"/>
    <w:rsid w:val="BFDEC58B"/>
    <w:rsid w:val="DDE70CC7"/>
    <w:rsid w:val="E7F91771"/>
    <w:rsid w:val="EF7C2CDD"/>
    <w:rsid w:val="F74F5B93"/>
    <w:rsid w:val="FDBF77B3"/>
    <w:rsid w:val="FDC3A3D3"/>
    <w:rsid w:val="FDFD1A7B"/>
    <w:rsid w:val="FEDBAB40"/>
    <w:rsid w:val="FFA73B3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1"/>
    <w:basedOn w:val="1"/>
    <w:next w:val="1"/>
    <w:qFormat/>
    <w:uiPriority w:val="0"/>
    <w:pPr>
      <w:keepNext/>
      <w:keepLines/>
      <w:spacing w:line="560" w:lineRule="exact"/>
      <w:ind w:firstLine="0" w:firstLineChars="0"/>
      <w:outlineLvl w:val="0"/>
    </w:pPr>
    <w:rPr>
      <w:rFonts w:cs="Times New Roman"/>
      <w:bCs/>
      <w:kern w:val="44"/>
      <w:szCs w:val="44"/>
      <w:lang w:val="en-GB"/>
    </w:rPr>
  </w:style>
  <w:style w:type="paragraph" w:styleId="4">
    <w:name w:val="heading 2"/>
    <w:basedOn w:val="1"/>
    <w:next w:val="1"/>
    <w:unhideWhenUsed/>
    <w:qFormat/>
    <w:uiPriority w:val="0"/>
    <w:pPr>
      <w:spacing w:after="0" w:line="560" w:lineRule="exact"/>
      <w:ind w:left="198" w:leftChars="0" w:firstLine="1440" w:firstLineChars="200"/>
      <w:outlineLvl w:val="1"/>
    </w:pPr>
    <w:rPr>
      <w:rFonts w:ascii="Times New Roman" w:hAnsi="Times New Roman" w:eastAsia="仿宋_GB2312"/>
      <w:smallCaps/>
      <w:szCs w:val="28"/>
    </w:rPr>
  </w:style>
  <w:style w:type="character" w:default="1" w:styleId="11">
    <w:name w:val="Default Paragraph Font"/>
    <w:semiHidden/>
    <w:qFormat/>
    <w:uiPriority w:val="0"/>
  </w:style>
  <w:style w:type="table" w:default="1" w:styleId="10">
    <w:name w:val="Normal Table"/>
    <w:semiHidden/>
    <w:qFormat/>
    <w:uiPriority w:val="0"/>
    <w:tblPr>
      <w:tblCellMar>
        <w:top w:w="0" w:type="dxa"/>
        <w:left w:w="108" w:type="dxa"/>
        <w:bottom w:w="0" w:type="dxa"/>
        <w:right w:w="108" w:type="dxa"/>
      </w:tblCellMar>
    </w:tblPr>
  </w:style>
  <w:style w:type="paragraph" w:styleId="2">
    <w:name w:val="Title"/>
    <w:basedOn w:val="1"/>
    <w:next w:val="1"/>
    <w:qFormat/>
    <w:uiPriority w:val="0"/>
    <w:pPr>
      <w:spacing w:before="240" w:after="60"/>
      <w:jc w:val="center"/>
      <w:outlineLvl w:val="0"/>
    </w:pPr>
    <w:rPr>
      <w:rFonts w:ascii="Cambria" w:hAnsi="Cambria"/>
      <w:b/>
      <w:bCs/>
      <w:sz w:val="32"/>
      <w:szCs w:val="32"/>
    </w:rPr>
  </w:style>
  <w:style w:type="paragraph" w:styleId="5">
    <w:name w:val="Body Text"/>
    <w:basedOn w:val="1"/>
    <w:qFormat/>
    <w:uiPriority w:val="1"/>
    <w:rPr>
      <w:rFonts w:ascii="宋体" w:hAnsi="宋体" w:eastAsia="宋体" w:cs="宋体"/>
      <w:sz w:val="32"/>
      <w:szCs w:val="32"/>
      <w:lang w:val="zh-CN" w:eastAsia="zh-CN" w:bidi="zh-CN"/>
    </w:rPr>
  </w:style>
  <w:style w:type="paragraph" w:styleId="6">
    <w:name w:val="Plain Text"/>
    <w:basedOn w:val="1"/>
    <w:semiHidden/>
    <w:qFormat/>
    <w:uiPriority w:val="0"/>
    <w:rPr>
      <w:rFonts w:ascii="宋体" w:hAnsi="Courier New" w:cs="Courier New"/>
      <w:szCs w:val="21"/>
    </w:rPr>
  </w:style>
  <w:style w:type="paragraph" w:styleId="7">
    <w:name w:val="footer"/>
    <w:basedOn w:val="1"/>
    <w:unhideWhenUsed/>
    <w:qFormat/>
    <w:uiPriority w:val="99"/>
    <w:pPr>
      <w:tabs>
        <w:tab w:val="center" w:pos="4153"/>
        <w:tab w:val="right" w:pos="8306"/>
      </w:tabs>
      <w:snapToGrid w:val="0"/>
      <w:jc w:val="left"/>
    </w:pPr>
    <w:rPr>
      <w:sz w:val="18"/>
      <w:szCs w:val="18"/>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9">
    <w:name w:val="Normal (Web)"/>
    <w:basedOn w:val="1"/>
    <w:qFormat/>
    <w:uiPriority w:val="0"/>
    <w:pPr>
      <w:pBdr>
        <w:top w:val="none" w:color="auto" w:sz="0" w:space="0"/>
        <w:left w:val="none" w:color="auto" w:sz="0" w:space="0"/>
        <w:bottom w:val="none" w:color="auto" w:sz="0" w:space="0"/>
        <w:right w:val="none" w:color="auto" w:sz="0" w:space="0"/>
      </w:pBdr>
      <w:spacing w:before="0" w:beforeAutospacing="0" w:after="0" w:afterAutospacing="0"/>
      <w:ind w:left="0" w:right="0"/>
      <w:jc w:val="left"/>
    </w:pPr>
    <w:rPr>
      <w:kern w:val="0"/>
      <w:sz w:val="24"/>
      <w:lang w:val="en-US" w:eastAsia="zh-CN" w:bidi="ar"/>
    </w:rPr>
  </w:style>
  <w:style w:type="character" w:customStyle="1" w:styleId="12">
    <w:name w:val="15"/>
    <w:basedOn w:val="11"/>
    <w:qFormat/>
    <w:uiPriority w:val="0"/>
    <w:rPr>
      <w:rFonts w:hint="default" w:ascii="Times New Roman" w:hAnsi="Times New Roman" w:cs="Times New Roman"/>
      <w:b/>
      <w:bCs/>
    </w:rPr>
  </w:style>
  <w:style w:type="paragraph" w:customStyle="1" w:styleId="13">
    <w:name w:val="Default"/>
    <w:qFormat/>
    <w:uiPriority w:val="0"/>
    <w:pPr>
      <w:widowControl w:val="0"/>
      <w:autoSpaceDE w:val="0"/>
      <w:autoSpaceDN w:val="0"/>
      <w:adjustRightInd w:val="0"/>
    </w:pPr>
    <w:rPr>
      <w:rFonts w:ascii="华文中宋" w:hAnsi="Calibri" w:eastAsia="华文中宋" w:cs="华文中宋"/>
      <w:color w:val="000000"/>
      <w:kern w:val="0"/>
      <w:sz w:val="24"/>
      <w:szCs w:val="24"/>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Pages>
  <Words>0</Words>
  <Characters>0</Characters>
  <Lines>0</Lines>
  <Paragraphs>0</Paragraphs>
  <TotalTime>2</TotalTime>
  <ScaleCrop>false</ScaleCrop>
  <LinksUpToDate>false</LinksUpToDate>
  <CharactersWithSpaces>0</CharactersWithSpaces>
  <Application>WPS Office_12.1.2.22550_F1E327BC-269C-435d-A152-05C5408002CA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2023-11-26T09:01:00Z</dcterms:created>
  <dc:creator>Administrator</dc:creator>
  <cp:lastModifiedBy>BGS</cp:lastModifiedBy>
  <cp:lastPrinted>2025-10-13T16:05:00Z</cp:lastPrinted>
  <dcterms:modified xsi:type="dcterms:W3CDTF">2026-10-13T11:20:54Z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2052-12.1.2.22550</vt:lpwstr>
  </property>
  <property fmtid="{D5CDD505-2E9C-101B-9397-08002B2CF9AE}" pid="3" name="ICV">
    <vt:lpwstr>DF142B92163184B596A3CD6A8916A4A0_43</vt:lpwstr>
  </property>
</Properties>
</file>