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BAF1E3">
      <w:pPr>
        <w:pStyle w:val="19"/>
        <w:jc w:val="both"/>
        <w:rPr>
          <w:rFonts w:hint="eastAsia"/>
          <w:color w:val="auto"/>
          <w:sz w:val="44"/>
          <w:szCs w:val="44"/>
        </w:rPr>
      </w:pPr>
    </w:p>
    <w:p w14:paraId="137B7135">
      <w:pPr>
        <w:pStyle w:val="19"/>
        <w:jc w:val="center"/>
        <w:rPr>
          <w:color w:val="auto"/>
          <w:sz w:val="44"/>
          <w:szCs w:val="44"/>
        </w:rPr>
      </w:pPr>
      <w:r>
        <w:rPr>
          <w:rFonts w:hint="eastAsia"/>
          <w:color w:val="auto"/>
          <w:sz w:val="44"/>
          <w:szCs w:val="44"/>
        </w:rPr>
        <w:t>国家税务总局鄂尔多斯市税务局第三稽查局</w:t>
      </w:r>
    </w:p>
    <w:p w14:paraId="6416E7F7">
      <w:pPr>
        <w:pStyle w:val="19"/>
        <w:jc w:val="center"/>
        <w:rPr>
          <w:color w:val="auto"/>
          <w:sz w:val="52"/>
          <w:szCs w:val="52"/>
        </w:rPr>
      </w:pPr>
      <w:r>
        <w:rPr>
          <w:rFonts w:hint="eastAsia"/>
          <w:color w:val="auto"/>
          <w:sz w:val="52"/>
          <w:szCs w:val="52"/>
        </w:rPr>
        <w:t>税务行政处罚事项告知书</w:t>
      </w:r>
    </w:p>
    <w:p w14:paraId="40EBB2A3">
      <w:pPr>
        <w:pStyle w:val="19"/>
        <w:jc w:val="center"/>
        <w:rPr>
          <w:rFonts w:ascii="仿宋" w:hAnsi="仿宋" w:eastAsia="仿宋" w:cs="仿宋-宋"/>
          <w:color w:val="auto"/>
          <w:sz w:val="32"/>
          <w:szCs w:val="32"/>
          <w:highlight w:val="none"/>
        </w:rPr>
      </w:pPr>
      <w:r>
        <w:rPr>
          <w:rFonts w:hint="eastAsia" w:ascii="仿宋" w:hAnsi="仿宋" w:eastAsia="仿宋" w:cs="仿宋-宋"/>
          <w:color w:val="auto"/>
          <w:sz w:val="32"/>
          <w:szCs w:val="32"/>
        </w:rPr>
        <w:t>鄂税三稽罚</w:t>
      </w:r>
      <w:r>
        <w:rPr>
          <w:rFonts w:hint="eastAsia" w:ascii="仿宋" w:hAnsi="仿宋" w:eastAsia="仿宋" w:cs="仿宋-宋"/>
          <w:color w:val="auto"/>
          <w:sz w:val="32"/>
          <w:szCs w:val="32"/>
          <w:highlight w:val="none"/>
        </w:rPr>
        <w:t>告〔202</w:t>
      </w:r>
      <w:r>
        <w:rPr>
          <w:rFonts w:hint="eastAsia" w:ascii="仿宋" w:hAnsi="仿宋" w:eastAsia="仿宋" w:cs="仿宋-宋"/>
          <w:color w:val="auto"/>
          <w:sz w:val="32"/>
          <w:szCs w:val="32"/>
          <w:highlight w:val="none"/>
          <w:lang w:val="en-US" w:eastAsia="zh-CN"/>
        </w:rPr>
        <w:t>6</w:t>
      </w:r>
      <w:r>
        <w:rPr>
          <w:rFonts w:hint="eastAsia" w:ascii="仿宋" w:hAnsi="仿宋" w:eastAsia="仿宋" w:cs="仿宋-宋"/>
          <w:color w:val="auto"/>
          <w:sz w:val="32"/>
          <w:szCs w:val="32"/>
          <w:highlight w:val="none"/>
        </w:rPr>
        <w:t>〕</w:t>
      </w:r>
      <w:r>
        <w:rPr>
          <w:rFonts w:hint="eastAsia" w:ascii="仿宋" w:hAnsi="仿宋" w:eastAsia="仿宋" w:cs="仿宋-宋"/>
          <w:color w:val="auto"/>
          <w:sz w:val="32"/>
          <w:szCs w:val="32"/>
          <w:highlight w:val="none"/>
          <w:lang w:val="en-US" w:eastAsia="zh-CN"/>
        </w:rPr>
        <w:t>18</w:t>
      </w:r>
      <w:r>
        <w:rPr>
          <w:rFonts w:hint="eastAsia" w:ascii="仿宋" w:hAnsi="仿宋" w:eastAsia="仿宋" w:cs="仿宋-宋"/>
          <w:color w:val="auto"/>
          <w:sz w:val="32"/>
          <w:szCs w:val="32"/>
          <w:highlight w:val="none"/>
        </w:rPr>
        <w:t>号</w:t>
      </w:r>
    </w:p>
    <w:p w14:paraId="24B3B220">
      <w:pPr>
        <w:widowControl/>
        <w:rPr>
          <w:rFonts w:ascii="仿宋" w:hAnsi="仿宋" w:eastAsia="仿宋" w:cs="仿宋-宋"/>
          <w:color w:val="auto"/>
          <w:sz w:val="32"/>
          <w:szCs w:val="32"/>
        </w:rPr>
      </w:pPr>
      <w:r>
        <w:rPr>
          <w:rFonts w:ascii="仿宋" w:hAnsi="仿宋" w:eastAsia="仿宋" w:cs="仿宋-宋"/>
          <w:color w:val="auto"/>
          <w:sz w:val="32"/>
          <w:szCs w:val="32"/>
        </w:rPr>
        <mc:AlternateContent>
          <mc:Choice Requires="wps">
            <w:drawing>
              <wp:anchor distT="0" distB="0" distL="114300" distR="114300" simplePos="0" relativeHeight="251659264" behindDoc="0" locked="0" layoutInCell="1" allowOverlap="1">
                <wp:simplePos x="0" y="0"/>
                <wp:positionH relativeFrom="column">
                  <wp:posOffset>-59055</wp:posOffset>
                </wp:positionH>
                <wp:positionV relativeFrom="paragraph">
                  <wp:posOffset>66040</wp:posOffset>
                </wp:positionV>
                <wp:extent cx="5687695" cy="0"/>
                <wp:effectExtent l="0" t="20320" r="12065" b="25400"/>
                <wp:wrapNone/>
                <wp:docPr id="1" name="直接箭头连接符 1"/>
                <wp:cNvGraphicFramePr/>
                <a:graphic xmlns:a="http://schemas.openxmlformats.org/drawingml/2006/main">
                  <a:graphicData uri="http://schemas.microsoft.com/office/word/2010/wordprocessingShape">
                    <wps:wsp>
                      <wps:cNvCnPr/>
                      <wps:spPr>
                        <a:xfrm>
                          <a:off x="0" y="0"/>
                          <a:ext cx="5687695" cy="0"/>
                        </a:xfrm>
                        <a:prstGeom prst="straightConnector1">
                          <a:avLst/>
                        </a:prstGeom>
                        <a:ln w="4127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4.65pt;margin-top:5.2pt;height:0pt;width:447.85pt;z-index:251659264;mso-width-relative:page;mso-height-relative:page;" filled="f" stroked="t" coordsize="21600,21600" o:gfxdata="UEsDBAoAAAAAAIdO4kAAAAAAAAAAAAAAAAAEAAAAZHJzL1BLAwQUAAAACACHTuJAZvyb6dUAAAAI&#10;AQAADwAAAGRycy9kb3ducmV2LnhtbE2PzW7CMBCE70h9B2srcQMbqFCaxuGAqFAvlaB5ACfe/Kjx&#10;Oo0doG/frXoot92Z0ey32e7menHBMXSeNKyWCgRS5W1HjYbi43WRgAjRkDW9J9TwjQF2+cMsM6n1&#10;Vzrh5RwbwSUUUqOhjXFIpQxVi86EpR+Q2Kv96EzkdWykHc2Vy10v10ptpTMd8YXWDLhvsfo8T07D&#10;RJtDgu+H4q382tflui5Ox0FpPX9cqRcQEW/xPwy/+IwOOTOVfiIbRK9h8bzhJOvqCQT7SbLlofwT&#10;ZJ7J+wfyH1BLAwQUAAAACACHTuJAsCJwMP4BAADtAwAADgAAAGRycy9lMm9Eb2MueG1srVPNbhMx&#10;EL4j8Q6W72STiKZllU0PCeWCIBLwABOvd9eS/+Rxs8lL8AJInIAT9NQ7TwPlMRh70xTKpQf24B3/&#10;zDfzff48P98ZzbYyoHK24pPRmDNphauVbSv+7u3FkzPOMIKtQTsrK76XyM8Xjx/Ne1/KqeucrmVg&#10;BGKx7H3Fuxh9WRQoOmkAR85LS5uNCwYiTUNb1AF6Qje6mI7Hs6J3ofbBCYlIq6thkx8Qw0MAXdMo&#10;IVdOXBpp44AapIZIlLBTHvkid9s0UsTXTYMyMl1xYhrzSEUo3qSxWMyhbAP4TolDC/CQFu5xMqAs&#10;FT1CrSACuwzqHyijRHDomjgSzhQDkawIsZiM72nzpgMvMxeSGv1RdPx/sOLVdh2YqskJnFkwdOE3&#10;H65/vv98c/Xtx6frX98/pvjrFzZJUvUeS8pY2nU4zNCvQ+K9a4JJf2LEdlne/VFeuYtM0OLJ7Ox0&#10;9uyEM3G7V9wl+oDxhXSGpaDiGAOototLZy1doguTLC9sX2Kk0pR4m5Cqasv6ij+dTE8TOpArG3ID&#10;hcYTM7RtTkanVX2htE4pGNrNUge2heSM/CWGBPzXsVRlBdgN5/LW4JlOQv3c1izuPWlm6anw1IOR&#10;NWda0stKEQFCGUHph5yk0tpSB0nkQdYUbVy9z2rndXJB7vHg2GSzP+c5++6VLn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Zvyb6dUAAAAIAQAADwAAAAAAAAABACAAAAAiAAAAZHJzL2Rvd25yZXYu&#10;eG1sUEsBAhQAFAAAAAgAh07iQLAicDD+AQAA7QMAAA4AAAAAAAAAAQAgAAAAJAEAAGRycy9lMm9E&#10;b2MueG1sUEsFBgAAAAAGAAYAWQEAAJQFAAAAAA==&#10;">
                <v:fill on="f" focussize="0,0"/>
                <v:stroke weight="3.25pt" color="#000000" joinstyle="round"/>
                <v:imagedata o:title=""/>
                <o:lock v:ext="edit" aspectratio="f"/>
              </v:shape>
            </w:pict>
          </mc:Fallback>
        </mc:AlternateContent>
      </w:r>
    </w:p>
    <w:p w14:paraId="38327DF4">
      <w:pPr>
        <w:pStyle w:val="19"/>
        <w:jc w:val="both"/>
        <w:rPr>
          <w:rFonts w:hint="eastAsia" w:ascii="仿宋" w:hAnsi="仿宋" w:eastAsia="仿宋_GB2312" w:cs="仿宋"/>
          <w:sz w:val="32"/>
          <w:szCs w:val="32"/>
          <w:lang w:eastAsia="zh-CN"/>
        </w:rPr>
      </w:pPr>
      <w:r>
        <w:rPr>
          <w:rFonts w:hint="eastAsia" w:ascii="仿宋" w:hAnsi="仿宋" w:eastAsia="仿宋" w:cs="仿宋"/>
          <w:color w:val="000000"/>
          <w:sz w:val="32"/>
          <w:szCs w:val="32"/>
          <w:lang w:eastAsia="zh-CN"/>
        </w:rPr>
        <w:t>鄂尔多斯市宏雨煤炭有限公司</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rPr>
        <w:t>纳税人识别号</w:t>
      </w:r>
      <w:r>
        <w:rPr>
          <w:rFonts w:hint="eastAsia" w:ascii="仿宋_GB2312" w:hAnsi="仿宋" w:eastAsia="仿宋_GB2312" w:cs="Times New Roman"/>
          <w:color w:val="auto"/>
          <w:sz w:val="32"/>
          <w:szCs w:val="32"/>
        </w:rPr>
        <w:t>91150627MA0QPK933X</w:t>
      </w:r>
      <w:r>
        <w:rPr>
          <w:rFonts w:hint="eastAsia" w:ascii="仿宋_GB2312" w:hAnsi="仿宋" w:eastAsia="仿宋_GB2312" w:cs="Times New Roman"/>
          <w:color w:val="auto"/>
          <w:sz w:val="32"/>
          <w:szCs w:val="32"/>
          <w:lang w:eastAsia="zh-CN"/>
        </w:rPr>
        <w:t>：</w:t>
      </w:r>
    </w:p>
    <w:p w14:paraId="30B47B9E">
      <w:pPr>
        <w:pStyle w:val="19"/>
        <w:keepNext w:val="0"/>
        <w:keepLines w:val="0"/>
        <w:pageBreakBefore w:val="0"/>
        <w:widowControl w:val="0"/>
        <w:kinsoku/>
        <w:wordWrap/>
        <w:overflowPunct/>
        <w:topLinePunct w:val="0"/>
        <w:bidi w:val="0"/>
        <w:snapToGrid/>
        <w:spacing w:line="560" w:lineRule="exact"/>
        <w:ind w:left="0" w:firstLine="640" w:firstLineChars="200"/>
        <w:jc w:val="both"/>
        <w:textAlignment w:val="auto"/>
        <w:rPr>
          <w:rFonts w:hint="default" w:ascii="仿宋_GB2312" w:hAnsi="仿宋" w:eastAsia="仿宋_GB2312"/>
          <w:color w:val="auto"/>
          <w:sz w:val="32"/>
          <w:szCs w:val="32"/>
          <w:lang w:val="en-US" w:eastAsia="zh-CN"/>
        </w:rPr>
      </w:pPr>
      <w:r>
        <w:rPr>
          <w:rFonts w:hint="eastAsia" w:ascii="仿宋_GB2312" w:hAnsi="仿宋_GB2312" w:eastAsia="仿宋_GB2312" w:cs="仿宋_GB2312"/>
          <w:color w:val="auto"/>
          <w:sz w:val="32"/>
          <w:szCs w:val="32"/>
        </w:rPr>
        <w:t>我局拟对</w:t>
      </w:r>
      <w:r>
        <w:rPr>
          <w:rFonts w:hint="eastAsia" w:ascii="仿宋_GB2312" w:hAnsi="仿宋_GB2312" w:eastAsia="仿宋_GB2312" w:cs="仿宋_GB2312"/>
          <w:color w:val="auto"/>
          <w:sz w:val="32"/>
          <w:szCs w:val="32"/>
          <w:lang w:val="en-US" w:eastAsia="zh-CN"/>
        </w:rPr>
        <w:t>你公司（地址：</w:t>
      </w:r>
      <w:r>
        <w:rPr>
          <w:rFonts w:hint="eastAsia" w:ascii="仿宋_GB2312" w:hAnsi="仿宋" w:eastAsia="仿宋_GB2312" w:cs="Times New Roman"/>
          <w:sz w:val="32"/>
          <w:lang w:eastAsia="zh-CN"/>
        </w:rPr>
        <w:t>内蒙古自治区鄂尔多斯市伊金霍洛旗空港物流园区创新创业基地B2-202号</w:t>
      </w:r>
      <w:r>
        <w:rPr>
          <w:rFonts w:hint="eastAsia" w:ascii="仿宋_GB2312" w:hAnsi="仿宋_GB2312" w:eastAsia="仿宋_GB2312" w:cs="仿宋_GB2312"/>
          <w:color w:val="auto"/>
          <w:sz w:val="32"/>
          <w:szCs w:val="32"/>
          <w:lang w:val="en-US" w:eastAsia="zh-CN"/>
        </w:rPr>
        <w:t>）</w:t>
      </w:r>
      <w:r>
        <w:rPr>
          <w:rFonts w:hint="eastAsia" w:ascii="仿宋_GB2312" w:hAnsi="仿宋" w:eastAsia="仿宋_GB2312"/>
          <w:color w:val="auto"/>
          <w:sz w:val="32"/>
          <w:szCs w:val="32"/>
          <w:lang w:val="en-US" w:eastAsia="zh-CN"/>
        </w:rPr>
        <w:t>2021年7月</w:t>
      </w:r>
      <w:r>
        <w:rPr>
          <w:rFonts w:hint="eastAsia" w:ascii="仿宋_GB2312" w:hAnsi="仿宋_GB2312" w:eastAsia="仿宋_GB2312" w:cs="仿宋_GB2312"/>
          <w:color w:val="auto"/>
          <w:sz w:val="32"/>
          <w:szCs w:val="32"/>
          <w:lang w:val="en-US" w:eastAsia="zh-CN"/>
        </w:rPr>
        <w:t>取得</w:t>
      </w:r>
      <w:r>
        <w:rPr>
          <w:rFonts w:hint="eastAsia" w:ascii="仿宋_GB2312" w:hAnsi="仿宋" w:eastAsia="仿宋_GB2312"/>
          <w:sz w:val="32"/>
          <w:szCs w:val="32"/>
          <w:lang w:val="en-US" w:eastAsia="zh-CN"/>
        </w:rPr>
        <w:t>内蒙古辉裕能源有限公司</w:t>
      </w:r>
      <w:r>
        <w:rPr>
          <w:rFonts w:hint="eastAsia" w:ascii="仿宋_GB2312" w:hAnsi="仿宋_GB2312" w:eastAsia="仿宋_GB2312" w:cs="仿宋_GB2312"/>
          <w:sz w:val="32"/>
          <w:szCs w:val="32"/>
          <w:highlight w:val="none"/>
          <w:lang w:val="en-US" w:eastAsia="zh-CN"/>
        </w:rPr>
        <w:t>开具的15份增值税专用发票</w:t>
      </w:r>
      <w:r>
        <w:rPr>
          <w:rFonts w:hint="eastAsia" w:ascii="仿宋_GB2312" w:hAnsi="仿宋" w:eastAsia="仿宋_GB2312" w:cs="Times New Roman"/>
          <w:sz w:val="32"/>
          <w:lang w:val="en-US" w:eastAsia="zh-CN"/>
        </w:rPr>
        <w:t>（发票代码1500203130，发票号码03492239-03492250、03492276-03492278，金额1,477,876.08元，税额192,123.92元，价税合计1,670,000.00元，货物名称*煤炭*煤）</w:t>
      </w:r>
      <w:r>
        <w:rPr>
          <w:rFonts w:hint="eastAsia" w:ascii="仿宋_GB2312" w:hAnsi="仿宋_GB2312" w:eastAsia="仿宋_GB2312" w:cs="仿宋_GB2312"/>
          <w:color w:val="auto"/>
          <w:sz w:val="32"/>
          <w:szCs w:val="32"/>
        </w:rPr>
        <w:t>税收违法行为</w:t>
      </w:r>
      <w:r>
        <w:rPr>
          <w:rFonts w:hint="eastAsia" w:ascii="仿宋_GB2312" w:hAnsi="仿宋_GB2312" w:eastAsia="仿宋_GB2312" w:cs="仿宋_GB2312"/>
          <w:color w:val="auto"/>
          <w:sz w:val="32"/>
          <w:szCs w:val="32"/>
          <w:lang w:val="en-US" w:eastAsia="zh-CN"/>
        </w:rPr>
        <w:t>拟于2026年11月4日前</w:t>
      </w:r>
      <w:r>
        <w:rPr>
          <w:rFonts w:hint="eastAsia" w:ascii="仿宋_GB2312" w:hAnsi="仿宋_GB2312" w:eastAsia="仿宋_GB2312" w:cs="仿宋_GB2312"/>
          <w:color w:val="auto"/>
          <w:sz w:val="32"/>
          <w:szCs w:val="32"/>
        </w:rPr>
        <w:t>作出行政处罚决定</w:t>
      </w:r>
      <w:r>
        <w:rPr>
          <w:rFonts w:hint="eastAsia" w:ascii="仿宋_GB2312" w:hAnsi="仿宋_GB2312" w:eastAsia="仿宋_GB2312" w:cs="仿宋_GB2312"/>
          <w:color w:val="auto"/>
          <w:sz w:val="32"/>
          <w:szCs w:val="32"/>
          <w:lang w:eastAsia="zh-CN"/>
        </w:rPr>
        <w:t>。</w:t>
      </w:r>
    </w:p>
    <w:p w14:paraId="6E793848">
      <w:pPr>
        <w:pStyle w:val="19"/>
        <w:keepNext w:val="0"/>
        <w:keepLines w:val="0"/>
        <w:pageBreakBefore w:val="0"/>
        <w:widowControl w:val="0"/>
        <w:kinsoku/>
        <w:wordWrap/>
        <w:overflowPunct/>
        <w:topLinePunct w:val="0"/>
        <w:bidi w:val="0"/>
        <w:snapToGrid/>
        <w:spacing w:line="560" w:lineRule="exact"/>
        <w:ind w:left="0" w:firstLine="640" w:firstLineChars="200"/>
        <w:jc w:val="both"/>
        <w:textAlignment w:val="auto"/>
        <w:rPr>
          <w:rFonts w:hint="eastAsia" w:ascii="仿宋_GB2312" w:hAnsi="仿宋" w:eastAsia="仿宋_GB2312" w:cs="Times New Roman"/>
          <w:sz w:val="32"/>
          <w:lang w:val="en-US" w:eastAsia="zh-CN"/>
        </w:rPr>
      </w:pPr>
      <w:r>
        <w:rPr>
          <w:rFonts w:hint="eastAsia" w:ascii="仿宋_GB2312" w:hAnsi="仿宋" w:eastAsia="仿宋_GB2312" w:cs="Times New Roman"/>
          <w:sz w:val="32"/>
          <w:lang w:val="en-US" w:eastAsia="zh-CN"/>
        </w:rPr>
        <w:t xml:space="preserve">根据《中华人民共和国税收征收管理法》第八条、《中华人民共和国行政处罚法》第四十四条、《中华人民共和国行政处罚法》第六十三条、第六十四条规定，现将有关事项告知如下： </w:t>
      </w:r>
    </w:p>
    <w:p w14:paraId="33ED81F9">
      <w:pPr>
        <w:pStyle w:val="19"/>
        <w:keepNext w:val="0"/>
        <w:keepLines w:val="0"/>
        <w:pageBreakBefore w:val="0"/>
        <w:widowControl w:val="0"/>
        <w:kinsoku/>
        <w:wordWrap/>
        <w:overflowPunct/>
        <w:topLinePunct w:val="0"/>
        <w:bidi w:val="0"/>
        <w:snapToGrid/>
        <w:spacing w:line="560" w:lineRule="exact"/>
        <w:ind w:lef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一、税务行政处罚的事实</w:t>
      </w:r>
      <w:r>
        <w:rPr>
          <w:rFonts w:hint="eastAsia" w:ascii="仿宋_GB2312" w:hAnsi="仿宋_GB2312" w:eastAsia="仿宋_GB2312" w:cs="仿宋_GB2312"/>
          <w:color w:val="auto"/>
          <w:sz w:val="32"/>
          <w:szCs w:val="32"/>
          <w:lang w:eastAsia="zh-CN"/>
        </w:rPr>
        <w:t>、理由、</w:t>
      </w:r>
      <w:r>
        <w:rPr>
          <w:rFonts w:hint="eastAsia" w:ascii="仿宋_GB2312" w:hAnsi="仿宋_GB2312" w:eastAsia="仿宋_GB2312" w:cs="仿宋_GB2312"/>
          <w:color w:val="auto"/>
          <w:sz w:val="32"/>
          <w:szCs w:val="32"/>
        </w:rPr>
        <w:t>依据及拟作出的处罚决定</w:t>
      </w:r>
    </w:p>
    <w:p w14:paraId="497F8D06">
      <w:pPr>
        <w:pageBreakBefore w:val="0"/>
        <w:widowControl w:val="0"/>
        <w:kinsoku/>
        <w:wordWrap/>
        <w:overflowPunct/>
        <w:topLinePunct w:val="0"/>
        <w:bidi w:val="0"/>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（一）税务行政处罚的事实、理由、依据 </w:t>
      </w:r>
    </w:p>
    <w:p w14:paraId="4D2EEA35">
      <w:pPr>
        <w:ind w:firstLine="640" w:firstLineChars="200"/>
        <w:jc w:val="left"/>
        <w:rPr>
          <w:rFonts w:hint="eastAsia" w:ascii="仿宋_GB2312" w:hAnsi="仿宋" w:eastAsia="仿宋_GB2312"/>
          <w:sz w:val="32"/>
          <w:szCs w:val="32"/>
          <w:lang w:val="en-US" w:eastAsia="zh-CN"/>
        </w:rPr>
      </w:pPr>
      <w:r>
        <w:rPr>
          <w:rFonts w:hint="eastAsia" w:ascii="仿宋_GB2312" w:hAnsi="仿宋" w:eastAsia="仿宋_GB2312"/>
          <w:color w:val="auto"/>
          <w:sz w:val="32"/>
          <w:szCs w:val="32"/>
          <w:lang w:eastAsia="zh-CN"/>
        </w:rPr>
        <w:t>经检查，发现你</w:t>
      </w:r>
      <w:r>
        <w:rPr>
          <w:rFonts w:hint="eastAsia" w:ascii="仿宋_GB2312" w:hAnsi="仿宋" w:eastAsia="仿宋_GB2312"/>
          <w:color w:val="auto"/>
          <w:sz w:val="32"/>
          <w:szCs w:val="32"/>
        </w:rPr>
        <w:t>公司</w:t>
      </w:r>
      <w:r>
        <w:rPr>
          <w:rFonts w:hint="eastAsia" w:ascii="仿宋_GB2312" w:hAnsi="仿宋" w:eastAsia="仿宋_GB2312"/>
          <w:color w:val="auto"/>
          <w:sz w:val="32"/>
          <w:szCs w:val="32"/>
          <w:lang w:eastAsia="zh-CN"/>
        </w:rPr>
        <w:t>在与</w:t>
      </w:r>
      <w:r>
        <w:rPr>
          <w:rFonts w:hint="eastAsia" w:ascii="仿宋_GB2312" w:hAnsi="仿宋" w:eastAsia="仿宋_GB2312"/>
          <w:sz w:val="32"/>
          <w:szCs w:val="32"/>
          <w:lang w:val="en-US" w:eastAsia="zh-CN"/>
        </w:rPr>
        <w:t>内蒙古辉裕能源有限公司</w:t>
      </w:r>
      <w:r>
        <w:rPr>
          <w:rFonts w:hint="eastAsia" w:ascii="仿宋_GB2312" w:hAnsi="仿宋" w:eastAsia="仿宋_GB2312"/>
          <w:color w:val="auto"/>
          <w:sz w:val="32"/>
          <w:szCs w:val="32"/>
          <w:lang w:eastAsia="zh-CN"/>
        </w:rPr>
        <w:t>没有发生真实的经营活动情况下，</w:t>
      </w:r>
      <w:r>
        <w:rPr>
          <w:rFonts w:hint="eastAsia" w:ascii="仿宋_GB2312" w:hAnsi="仿宋" w:eastAsia="仿宋_GB2312"/>
          <w:color w:val="auto"/>
          <w:sz w:val="32"/>
          <w:szCs w:val="32"/>
        </w:rPr>
        <w:t>于</w:t>
      </w:r>
      <w:r>
        <w:rPr>
          <w:rFonts w:hint="eastAsia" w:ascii="仿宋_GB2312" w:hAnsi="仿宋" w:eastAsia="仿宋_GB2312"/>
          <w:color w:val="auto"/>
          <w:sz w:val="32"/>
          <w:szCs w:val="32"/>
          <w:lang w:val="en-US" w:eastAsia="zh-CN"/>
        </w:rPr>
        <w:t>2021年7月26日期间，采取虚假转账、支付开票费用等</w:t>
      </w:r>
      <w:r>
        <w:rPr>
          <w:rFonts w:hint="eastAsia" w:ascii="仿宋_GB2312" w:hAnsi="仿宋" w:eastAsia="仿宋_GB2312"/>
          <w:color w:val="auto"/>
          <w:sz w:val="32"/>
          <w:szCs w:val="32"/>
          <w:highlight w:val="none"/>
          <w:lang w:val="en-US" w:eastAsia="zh-CN"/>
        </w:rPr>
        <w:t>让他人为自己虚开的</w:t>
      </w:r>
      <w:r>
        <w:rPr>
          <w:rFonts w:hint="eastAsia" w:ascii="仿宋_GB2312" w:hAnsi="仿宋" w:eastAsia="仿宋_GB2312"/>
          <w:color w:val="auto"/>
          <w:sz w:val="32"/>
          <w:szCs w:val="32"/>
          <w:lang w:val="en-US" w:eastAsia="zh-CN"/>
        </w:rPr>
        <w:t>手段，接受辉裕能源为自己虚开增值税专用发票。</w:t>
      </w:r>
      <w:bookmarkStart w:id="0" w:name="_GoBack"/>
      <w:bookmarkEnd w:id="0"/>
      <w:r>
        <w:rPr>
          <w:rFonts w:hint="eastAsia" w:ascii="仿宋_GB2312" w:hAnsi="仿宋" w:eastAsia="仿宋_GB2312"/>
          <w:sz w:val="32"/>
          <w:szCs w:val="32"/>
          <w:lang w:val="en-US" w:eastAsia="zh-CN"/>
        </w:rPr>
        <w:t>上述违法事实，有以下证据资料证实：</w:t>
      </w:r>
    </w:p>
    <w:p w14:paraId="2D746656">
      <w:pPr>
        <w:ind w:firstLine="640" w:firstLineChars="200"/>
        <w:jc w:val="left"/>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证据1：宏雨煤炭的对公账户流水</w:t>
      </w:r>
    </w:p>
    <w:p w14:paraId="728A2218">
      <w:pPr>
        <w:ind w:firstLine="640" w:firstLineChars="200"/>
        <w:jc w:val="left"/>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证据2：辉裕能源的对公账户流水</w:t>
      </w:r>
    </w:p>
    <w:p w14:paraId="16F8DD1F">
      <w:pPr>
        <w:ind w:firstLine="640" w:firstLineChars="200"/>
        <w:jc w:val="left"/>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证据3：刘全友、张春蕾、任士民个人银行账户流水</w:t>
      </w:r>
    </w:p>
    <w:p w14:paraId="7BD638E9">
      <w:pPr>
        <w:ind w:firstLine="640" w:firstLineChars="200"/>
        <w:jc w:val="left"/>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证据4：烟台益森对公账户流水</w:t>
      </w:r>
    </w:p>
    <w:p w14:paraId="050CB4D4">
      <w:pPr>
        <w:ind w:firstLine="640" w:firstLineChars="200"/>
        <w:jc w:val="left"/>
        <w:rPr>
          <w:rFonts w:hint="eastAsia"/>
          <w:lang w:val="en-US" w:eastAsia="zh-CN"/>
        </w:rPr>
      </w:pPr>
      <w:r>
        <w:rPr>
          <w:rFonts w:hint="eastAsia" w:ascii="仿宋_GB2312" w:hAnsi="仿宋" w:eastAsia="仿宋_GB2312"/>
          <w:sz w:val="32"/>
          <w:szCs w:val="32"/>
          <w:lang w:val="en-US" w:eastAsia="zh-CN"/>
        </w:rPr>
        <w:t>证据5：企业基本资料、增值税及企业所得税申报表</w:t>
      </w:r>
    </w:p>
    <w:p w14:paraId="4CD1C3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rPr>
          <w:rFonts w:hint="eastAsia"/>
        </w:rPr>
      </w:pPr>
      <w:r>
        <w:rPr>
          <w:rFonts w:hint="eastAsia" w:ascii="仿宋_GB2312" w:hAnsi="仿宋_GB2312" w:eastAsia="仿宋_GB2312" w:cs="仿宋_GB2312"/>
          <w:b w:val="0"/>
          <w:bCs w:val="0"/>
          <w:color w:val="auto"/>
          <w:sz w:val="32"/>
          <w:szCs w:val="32"/>
          <w:highlight w:val="none"/>
          <w:lang w:val="en-US" w:eastAsia="zh-CN"/>
        </w:rPr>
        <w:t xml:space="preserve">（二）拟作出的处罚决定 </w:t>
      </w:r>
    </w:p>
    <w:p w14:paraId="470BAA88">
      <w:pPr>
        <w:pageBreakBefore w:val="0"/>
        <w:widowControl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根据上述事实，拟作出如下处罚决定：</w:t>
      </w:r>
    </w:p>
    <w:p w14:paraId="593CA143">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 w:eastAsia="仿宋_GB2312"/>
          <w:sz w:val="32"/>
          <w:szCs w:val="32"/>
        </w:rPr>
      </w:pPr>
      <w:r>
        <w:rPr>
          <w:rFonts w:hint="eastAsia" w:ascii="仿宋_GB2312" w:hAnsi="仿宋" w:eastAsia="仿宋_GB2312"/>
          <w:sz w:val="32"/>
          <w:szCs w:val="32"/>
          <w:lang w:eastAsia="zh-CN"/>
        </w:rPr>
        <w:t>根据</w:t>
      </w:r>
      <w:r>
        <w:rPr>
          <w:rStyle w:val="26"/>
          <w:rFonts w:hint="eastAsia" w:ascii="仿宋_GB2312" w:hAnsi="仿宋_GB2312" w:eastAsia="仿宋_GB2312" w:cs="仿宋_GB2312"/>
          <w:b w:val="0"/>
          <w:bCs w:val="0"/>
          <w:kern w:val="30"/>
          <w:sz w:val="32"/>
          <w:szCs w:val="32"/>
          <w:highlight w:val="none"/>
        </w:rPr>
        <w:t>《中华人民共和国</w:t>
      </w:r>
      <w:r>
        <w:rPr>
          <w:rStyle w:val="26"/>
          <w:rFonts w:hint="eastAsia" w:ascii="仿宋_GB2312" w:hAnsi="仿宋_GB2312" w:eastAsia="仿宋_GB2312" w:cs="仿宋_GB2312"/>
          <w:b w:val="0"/>
          <w:color w:val="000000"/>
          <w:kern w:val="30"/>
          <w:sz w:val="32"/>
          <w:szCs w:val="32"/>
          <w:highlight w:val="none"/>
        </w:rPr>
        <w:t>发票管理</w:t>
      </w:r>
      <w:r>
        <w:rPr>
          <w:rStyle w:val="26"/>
          <w:rFonts w:hint="eastAsia" w:ascii="仿宋_GB2312" w:hAnsi="仿宋_GB2312" w:eastAsia="仿宋_GB2312" w:cs="仿宋_GB2312"/>
          <w:b w:val="0"/>
          <w:bCs w:val="0"/>
          <w:kern w:val="30"/>
          <w:sz w:val="32"/>
          <w:szCs w:val="32"/>
          <w:highlight w:val="none"/>
        </w:rPr>
        <w:t>办法》</w:t>
      </w:r>
      <w:r>
        <w:rPr>
          <w:rStyle w:val="26"/>
          <w:rFonts w:hint="eastAsia" w:ascii="仿宋_GB2312" w:hAnsi="仿宋_GB2312" w:eastAsia="仿宋_GB2312" w:cs="仿宋_GB2312"/>
          <w:b w:val="0"/>
          <w:color w:val="000000"/>
          <w:kern w:val="30"/>
          <w:sz w:val="32"/>
          <w:szCs w:val="32"/>
          <w:highlight w:val="none"/>
        </w:rPr>
        <w:t>（中华人民共和国财政部令1993年第6号发布 根据中华人民共和国国务院令第</w:t>
      </w:r>
      <w:r>
        <w:rPr>
          <w:rStyle w:val="26"/>
          <w:rFonts w:hint="eastAsia" w:ascii="仿宋_GB2312" w:hAnsi="仿宋_GB2312" w:eastAsia="仿宋_GB2312" w:cs="仿宋_GB2312"/>
          <w:b w:val="0"/>
          <w:color w:val="000000"/>
          <w:kern w:val="30"/>
          <w:sz w:val="32"/>
          <w:szCs w:val="32"/>
          <w:highlight w:val="none"/>
          <w:lang w:val="en-US" w:eastAsia="zh-CN"/>
        </w:rPr>
        <w:t>709</w:t>
      </w:r>
      <w:r>
        <w:rPr>
          <w:rStyle w:val="26"/>
          <w:rFonts w:hint="eastAsia" w:ascii="仿宋_GB2312" w:hAnsi="仿宋_GB2312" w:eastAsia="仿宋_GB2312" w:cs="仿宋_GB2312"/>
          <w:b w:val="0"/>
          <w:color w:val="000000"/>
          <w:kern w:val="30"/>
          <w:sz w:val="32"/>
          <w:szCs w:val="32"/>
          <w:highlight w:val="none"/>
        </w:rPr>
        <w:t>号修订）</w:t>
      </w:r>
      <w:r>
        <w:rPr>
          <w:rStyle w:val="26"/>
          <w:rFonts w:hint="eastAsia" w:ascii="仿宋_GB2312" w:hAnsi="仿宋_GB2312" w:eastAsia="仿宋_GB2312" w:cs="仿宋_GB2312"/>
          <w:b w:val="0"/>
          <w:bCs w:val="0"/>
          <w:color w:val="000000"/>
          <w:kern w:val="30"/>
          <w:sz w:val="32"/>
          <w:szCs w:val="32"/>
          <w:highlight w:val="none"/>
        </w:rPr>
        <w:t>第二十</w:t>
      </w:r>
      <w:r>
        <w:rPr>
          <w:rStyle w:val="26"/>
          <w:rFonts w:hint="eastAsia" w:ascii="仿宋_GB2312" w:hAnsi="仿宋_GB2312" w:eastAsia="仿宋_GB2312" w:cs="仿宋_GB2312"/>
          <w:b w:val="0"/>
          <w:bCs w:val="0"/>
          <w:color w:val="000000"/>
          <w:kern w:val="30"/>
          <w:sz w:val="32"/>
          <w:szCs w:val="32"/>
          <w:highlight w:val="none"/>
          <w:lang w:eastAsia="zh-CN"/>
        </w:rPr>
        <w:t>二</w:t>
      </w:r>
      <w:r>
        <w:rPr>
          <w:rStyle w:val="26"/>
          <w:rFonts w:hint="eastAsia" w:ascii="仿宋_GB2312" w:hAnsi="仿宋_GB2312" w:eastAsia="仿宋_GB2312" w:cs="仿宋_GB2312"/>
          <w:b w:val="0"/>
          <w:bCs w:val="0"/>
          <w:color w:val="000000"/>
          <w:kern w:val="30"/>
          <w:sz w:val="32"/>
          <w:szCs w:val="32"/>
          <w:highlight w:val="none"/>
        </w:rPr>
        <w:t>条：“开具发票应当按照规定的时限、顺序、栏目，全部联次一次性如实开具，</w:t>
      </w:r>
      <w:r>
        <w:rPr>
          <w:rStyle w:val="26"/>
          <w:rFonts w:hint="eastAsia" w:ascii="仿宋_GB2312" w:hAnsi="仿宋_GB2312" w:eastAsia="仿宋_GB2312" w:cs="仿宋_GB2312"/>
          <w:b w:val="0"/>
          <w:bCs w:val="0"/>
          <w:color w:val="000000"/>
          <w:kern w:val="30"/>
          <w:sz w:val="32"/>
          <w:szCs w:val="32"/>
          <w:highlight w:val="none"/>
          <w:lang w:eastAsia="zh-CN"/>
        </w:rPr>
        <w:t>并</w:t>
      </w:r>
      <w:r>
        <w:rPr>
          <w:rStyle w:val="26"/>
          <w:rFonts w:hint="eastAsia" w:ascii="仿宋_GB2312" w:hAnsi="仿宋_GB2312" w:eastAsia="仿宋_GB2312" w:cs="仿宋_GB2312"/>
          <w:b w:val="0"/>
          <w:bCs w:val="0"/>
          <w:color w:val="000000"/>
          <w:kern w:val="30"/>
          <w:sz w:val="32"/>
          <w:szCs w:val="32"/>
          <w:highlight w:val="none"/>
        </w:rPr>
        <w:t>加盖发票专用章。任何单位和个人不得有下列虚开发票行为：（一）为他人、为自己开具与实际经营业务情况不符的发票；（二）让他人为自己开具与实际经营业务情况不符的发票；（三）介绍他人开具与实际经营业务情况不符的发票。”</w:t>
      </w:r>
      <w:r>
        <w:rPr>
          <w:rFonts w:hint="eastAsia" w:ascii="仿宋_GB2312" w:hAnsi="仿宋" w:eastAsia="仿宋_GB2312"/>
          <w:sz w:val="32"/>
          <w:szCs w:val="32"/>
        </w:rPr>
        <w:t>的规定，</w:t>
      </w:r>
      <w:r>
        <w:rPr>
          <w:rFonts w:hint="eastAsia" w:ascii="仿宋_GB2312" w:hAnsi="仿宋" w:eastAsia="仿宋_GB2312"/>
          <w:sz w:val="32"/>
          <w:szCs w:val="32"/>
          <w:lang w:eastAsia="zh-CN"/>
        </w:rPr>
        <w:t>你公司</w:t>
      </w:r>
      <w:r>
        <w:rPr>
          <w:rStyle w:val="26"/>
          <w:rFonts w:hint="eastAsia" w:ascii="仿宋_GB2312" w:eastAsia="仿宋_GB2312"/>
          <w:b w:val="0"/>
          <w:bCs w:val="0"/>
          <w:color w:val="000000"/>
          <w:kern w:val="30"/>
          <w:sz w:val="32"/>
          <w:szCs w:val="32"/>
        </w:rPr>
        <w:t>让他人为自己开具与实际经营业务情况不符的发票</w:t>
      </w:r>
      <w:r>
        <w:rPr>
          <w:rFonts w:hint="eastAsia" w:ascii="仿宋_GB2312" w:hAnsi="仿宋" w:eastAsia="仿宋_GB2312"/>
          <w:sz w:val="32"/>
          <w:szCs w:val="32"/>
        </w:rPr>
        <w:t>的行为，属于虚开增值税专用发票。</w:t>
      </w:r>
    </w:p>
    <w:p w14:paraId="7B5FF3AC">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 w:eastAsia="仿宋_GB2312"/>
          <w:sz w:val="32"/>
          <w:szCs w:val="32"/>
        </w:rPr>
      </w:pPr>
      <w:r>
        <w:rPr>
          <w:rFonts w:hint="eastAsia" w:ascii="仿宋_GB2312" w:hAnsi="仿宋_GB2312" w:eastAsia="仿宋_GB2312" w:cs="仿宋_GB2312"/>
          <w:sz w:val="32"/>
          <w:szCs w:val="32"/>
          <w:lang w:val="en-US" w:eastAsia="zh-CN"/>
        </w:rPr>
        <w:t>根据</w:t>
      </w:r>
      <w:r>
        <w:rPr>
          <w:rFonts w:hint="eastAsia" w:ascii="仿宋_GB2312" w:hAnsi="仿宋_GB2312" w:eastAsia="仿宋_GB2312" w:cs="仿宋_GB2312"/>
          <w:sz w:val="32"/>
          <w:szCs w:val="32"/>
        </w:rPr>
        <w:t>《中华人民共和国税收征收管理法》（中华人民共和国主席令第49号</w:t>
      </w:r>
      <w:r>
        <w:rPr>
          <w:rFonts w:hint="eastAsia" w:ascii="仿宋_GB2312" w:hAnsi="华文仿宋" w:eastAsia="仿宋_GB2312" w:cs="华文仿宋"/>
          <w:sz w:val="32"/>
          <w:szCs w:val="32"/>
          <w:lang w:eastAsia="zh-CN"/>
        </w:rPr>
        <w:t>，根据</w:t>
      </w:r>
      <w:r>
        <w:rPr>
          <w:rFonts w:hint="eastAsia" w:ascii="仿宋_GB2312" w:hAnsi="华文仿宋" w:eastAsia="仿宋_GB2312" w:cs="华文仿宋"/>
          <w:sz w:val="32"/>
          <w:szCs w:val="32"/>
          <w:lang w:val="en-US" w:eastAsia="zh-CN"/>
        </w:rPr>
        <w:t>2015年4月24日发布的</w:t>
      </w:r>
      <w:r>
        <w:rPr>
          <w:rFonts w:hint="eastAsia" w:ascii="仿宋_GB2312" w:hAnsi="华文仿宋" w:eastAsia="仿宋_GB2312" w:cs="华文仿宋"/>
          <w:sz w:val="32"/>
          <w:szCs w:val="32"/>
          <w:lang w:eastAsia="zh-CN"/>
        </w:rPr>
        <w:t>主席令第二十三号修订</w:t>
      </w:r>
      <w:r>
        <w:rPr>
          <w:rFonts w:hint="eastAsia" w:ascii="仿宋_GB2312" w:hAnsi="仿宋_GB2312" w:eastAsia="仿宋_GB2312" w:cs="仿宋_GB2312"/>
          <w:sz w:val="32"/>
          <w:szCs w:val="32"/>
        </w:rPr>
        <w:t>）第六十三条第一款：“纳税人伪造、变造、隐匿、擅自销毁帐簿、记帐凭证，或者在帐簿上多列支出或者不列、少列收入，或者经税务机关通知申报而拒不申报或者进行虚假的纳税申报，不缴或者少缴应纳税款的，是偷税。对纳税人偷税的，由税务机关追缴其不缴或者少缴的税款、滞纳金，并处不缴或者少缴的税款百分之五十以上五倍以下的罚款；构成犯罪的，依法追究刑事责任。</w:t>
      </w:r>
      <w:r>
        <w:rPr>
          <w:rFonts w:hint="eastAsia" w:ascii="仿宋_GB2312" w:hAnsi="仿宋_GB2312" w:eastAsia="仿宋_GB2312" w:cs="仿宋_GB2312"/>
          <w:sz w:val="32"/>
          <w:szCs w:val="32"/>
          <w:lang w:eastAsia="zh-CN"/>
        </w:rPr>
        <w:t>”的规定，</w:t>
      </w:r>
      <w:r>
        <w:rPr>
          <w:rFonts w:hint="eastAsia" w:ascii="仿宋_GB2312" w:hAnsi="仿宋_GB2312" w:eastAsia="仿宋_GB2312" w:cs="仿宋_GB2312"/>
          <w:sz w:val="32"/>
          <w:szCs w:val="32"/>
          <w:lang w:val="en-US" w:eastAsia="zh-CN"/>
        </w:rPr>
        <w:t>你公司以少缴税款为目的，</w:t>
      </w:r>
      <w:r>
        <w:rPr>
          <w:rFonts w:hint="eastAsia" w:ascii="仿宋_GB2312" w:hAnsi="仿宋_GB2312" w:eastAsia="仿宋_GB2312" w:cs="仿宋_GB2312"/>
          <w:sz w:val="32"/>
          <w:szCs w:val="32"/>
          <w:highlight w:val="none"/>
          <w:lang w:val="en-US" w:eastAsia="zh-CN"/>
        </w:rPr>
        <w:t>虚开增值税专用发票在企业所得税税前多列支出，已构成偷</w:t>
      </w:r>
      <w:r>
        <w:rPr>
          <w:rFonts w:hint="eastAsia" w:ascii="仿宋_GB2312" w:hAnsi="仿宋_GB2312" w:eastAsia="仿宋_GB2312" w:cs="仿宋_GB2312"/>
          <w:sz w:val="32"/>
          <w:szCs w:val="32"/>
          <w:lang w:val="en-US" w:eastAsia="zh-CN"/>
        </w:rPr>
        <w:t>税。</w:t>
      </w:r>
    </w:p>
    <w:p w14:paraId="00EE239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根据《中华人民共和国发票管理办法》（中华人民共和国财政部令1993年第6号发布 根据20</w:t>
      </w:r>
      <w:r>
        <w:rPr>
          <w:rFonts w:hint="eastAsia" w:ascii="仿宋_GB2312" w:hAnsi="仿宋_GB2312" w:eastAsia="仿宋_GB2312" w:cs="仿宋_GB2312"/>
          <w:b w:val="0"/>
          <w:bCs/>
          <w:sz w:val="32"/>
          <w:szCs w:val="32"/>
          <w:lang w:val="en-US" w:eastAsia="zh-CN"/>
        </w:rPr>
        <w:t>19</w:t>
      </w:r>
      <w:r>
        <w:rPr>
          <w:rFonts w:hint="eastAsia" w:ascii="仿宋_GB2312" w:hAnsi="仿宋_GB2312" w:eastAsia="仿宋_GB2312" w:cs="仿宋_GB2312"/>
          <w:b w:val="0"/>
          <w:bCs/>
          <w:sz w:val="32"/>
          <w:szCs w:val="32"/>
        </w:rPr>
        <w:t>年</w:t>
      </w:r>
      <w:r>
        <w:rPr>
          <w:rFonts w:hint="eastAsia" w:ascii="仿宋_GB2312" w:hAnsi="仿宋_GB2312" w:eastAsia="仿宋_GB2312" w:cs="仿宋_GB2312"/>
          <w:b w:val="0"/>
          <w:bCs/>
          <w:sz w:val="32"/>
          <w:szCs w:val="32"/>
          <w:lang w:val="en-US" w:eastAsia="zh-CN"/>
        </w:rPr>
        <w:t>3</w:t>
      </w:r>
      <w:r>
        <w:rPr>
          <w:rFonts w:hint="eastAsia" w:ascii="仿宋_GB2312" w:hAnsi="仿宋_GB2312" w:eastAsia="仿宋_GB2312" w:cs="仿宋_GB2312"/>
          <w:b w:val="0"/>
          <w:bCs/>
          <w:sz w:val="32"/>
          <w:szCs w:val="32"/>
        </w:rPr>
        <w:t>月2日《国务院关于修改和废止部分行政法规的决定》修订）第三十</w:t>
      </w:r>
      <w:r>
        <w:rPr>
          <w:rFonts w:hint="eastAsia" w:ascii="仿宋_GB2312" w:hAnsi="仿宋_GB2312" w:eastAsia="仿宋_GB2312" w:cs="仿宋_GB2312"/>
          <w:b w:val="0"/>
          <w:bCs/>
          <w:sz w:val="32"/>
          <w:szCs w:val="32"/>
          <w:lang w:eastAsia="zh-CN"/>
        </w:rPr>
        <w:t>七</w:t>
      </w:r>
      <w:r>
        <w:rPr>
          <w:rFonts w:hint="eastAsia" w:ascii="仿宋_GB2312" w:hAnsi="仿宋_GB2312" w:eastAsia="仿宋_GB2312" w:cs="仿宋_GB2312"/>
          <w:b w:val="0"/>
          <w:bCs/>
          <w:sz w:val="32"/>
          <w:szCs w:val="32"/>
        </w:rPr>
        <w:t>条：“违反本办法</w:t>
      </w:r>
      <w:r>
        <w:rPr>
          <w:rFonts w:hint="eastAsia" w:ascii="仿宋_GB2312" w:hAnsi="仿宋_GB2312" w:eastAsia="仿宋_GB2312" w:cs="仿宋_GB2312"/>
          <w:b w:val="0"/>
          <w:bCs/>
          <w:sz w:val="32"/>
          <w:szCs w:val="32"/>
          <w:lang w:eastAsia="zh-CN"/>
        </w:rPr>
        <w:t>第二十二条第二款</w:t>
      </w:r>
      <w:r>
        <w:rPr>
          <w:rFonts w:hint="eastAsia" w:ascii="仿宋_GB2312" w:hAnsi="仿宋_GB2312" w:eastAsia="仿宋_GB2312" w:cs="仿宋_GB2312"/>
          <w:b w:val="0"/>
          <w:bCs/>
          <w:sz w:val="32"/>
          <w:szCs w:val="32"/>
        </w:rPr>
        <w:t>的规定虚开发票的，由税务机关没收违法所得：虚开全额在1万元以下的，可以并处5万元以下的罚款；虚开金额超过1万元的，并处5万元以上50万元以下的罚款；构成犯罪的，依法追究刑事责任。非法代开发票的。依照前款规定处罚。”</w:t>
      </w:r>
    </w:p>
    <w:p w14:paraId="153433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根据</w:t>
      </w:r>
      <w:r>
        <w:rPr>
          <w:rFonts w:hint="eastAsia" w:ascii="仿宋_GB2312" w:hAnsi="仿宋_GB2312" w:eastAsia="仿宋_GB2312" w:cs="仿宋_GB2312"/>
          <w:b w:val="0"/>
          <w:bCs/>
          <w:sz w:val="32"/>
          <w:szCs w:val="32"/>
        </w:rPr>
        <w:t>国家税务总局内蒙古自治区税务局关于发布</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内蒙古自治区税务行政处罚裁量基准</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的公告</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国家税务总局内蒙古自治区税务局</w:t>
      </w:r>
      <w:r>
        <w:rPr>
          <w:rFonts w:hint="eastAsia" w:ascii="仿宋_GB2312" w:hAnsi="仿宋_GB2312" w:eastAsia="仿宋_GB2312" w:cs="仿宋_GB2312"/>
          <w:b w:val="0"/>
          <w:bCs/>
          <w:sz w:val="32"/>
          <w:szCs w:val="32"/>
          <w:lang w:eastAsia="zh-CN"/>
        </w:rPr>
        <w:t>公告</w:t>
      </w:r>
      <w:r>
        <w:rPr>
          <w:rFonts w:hint="eastAsia" w:ascii="仿宋_GB2312" w:hAnsi="仿宋_GB2312" w:eastAsia="仿宋_GB2312" w:cs="仿宋_GB2312"/>
          <w:sz w:val="32"/>
          <w:szCs w:val="32"/>
          <w:u w:val="none"/>
          <w:lang w:val="en-US" w:eastAsia="zh-CN"/>
        </w:rPr>
        <w:t>〔2021〕</w:t>
      </w:r>
      <w:r>
        <w:rPr>
          <w:rFonts w:hint="eastAsia" w:ascii="仿宋_GB2312" w:hAnsi="仿宋_GB2312" w:eastAsia="仿宋_GB2312" w:cs="仿宋_GB2312"/>
          <w:b w:val="0"/>
          <w:bCs/>
          <w:sz w:val="32"/>
          <w:szCs w:val="32"/>
        </w:rPr>
        <w:t>9号</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没收违法所得，同时按以下标准进行罚款：</w:t>
      </w:r>
    </w:p>
    <w:p w14:paraId="0F995F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（一）虚开金额1万元以下的，可以并处5万元以下的罚款。</w:t>
      </w:r>
    </w:p>
    <w:p w14:paraId="4F83FF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（二）虚开金额超过1万元且50万元以下的，并处5万元以上10万元以下的罚款。</w:t>
      </w:r>
    </w:p>
    <w:p w14:paraId="363AC2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rPr>
        <w:t>（三）虚开金额超过50万元的，并处10万元以上50万元以下的罚款。</w:t>
      </w:r>
      <w:r>
        <w:rPr>
          <w:rFonts w:hint="eastAsia" w:ascii="仿宋_GB2312" w:hAnsi="仿宋_GB2312" w:eastAsia="仿宋_GB2312" w:cs="仿宋_GB2312"/>
          <w:b w:val="0"/>
          <w:bCs/>
          <w:sz w:val="32"/>
          <w:szCs w:val="32"/>
          <w:lang w:eastAsia="zh-CN"/>
        </w:rPr>
        <w:t>”</w:t>
      </w:r>
    </w:p>
    <w:p w14:paraId="1CCAD6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sz w:val="32"/>
          <w:szCs w:val="32"/>
        </w:rPr>
        <w:t>关于</w:t>
      </w:r>
      <w:r>
        <w:rPr>
          <w:rFonts w:hint="eastAsia" w:ascii="仿宋_GB2312" w:hAnsi="仿宋_GB2312" w:eastAsia="仿宋_GB2312" w:cs="仿宋_GB2312"/>
          <w:b w:val="0"/>
          <w:bCs/>
          <w:sz w:val="32"/>
          <w:szCs w:val="32"/>
          <w:lang w:val="en-US" w:eastAsia="zh-CN"/>
        </w:rPr>
        <w:t>偷税</w:t>
      </w:r>
      <w:r>
        <w:rPr>
          <w:rFonts w:hint="eastAsia" w:ascii="仿宋_GB2312" w:hAnsi="仿宋_GB2312" w:eastAsia="仿宋_GB2312" w:cs="仿宋_GB2312"/>
          <w:b w:val="0"/>
          <w:bCs/>
          <w:sz w:val="32"/>
          <w:szCs w:val="32"/>
        </w:rPr>
        <w:t>行为的裁量基准规定：</w:t>
      </w:r>
      <w:r>
        <w:rPr>
          <w:rFonts w:hint="eastAsia" w:ascii="仿宋_GB2312" w:hAnsi="仿宋_GB2312" w:eastAsia="仿宋_GB2312" w:cs="仿宋_GB2312"/>
          <w:sz w:val="32"/>
          <w:szCs w:val="32"/>
        </w:rPr>
        <w:t>“五年内首次因偷税被税务机关处罚，并能够配合税务机关检查，且未造成较大不良社会影响的，处不缴或者少缴的税款50%以上1倍以下的罚款。”</w:t>
      </w:r>
    </w:p>
    <w:p w14:paraId="76F182C8">
      <w:pPr>
        <w:pStyle w:val="2"/>
        <w:jc w:val="left"/>
        <w:outlineLvl w:val="9"/>
        <w:rPr>
          <w:rFonts w:hint="eastAsia"/>
        </w:rPr>
      </w:pPr>
      <w:r>
        <w:rPr>
          <w:rFonts w:hint="eastAsia" w:ascii="仿宋_GB2312" w:hAnsi="仿宋_GB2312" w:eastAsia="仿宋_GB2312" w:cs="仿宋_GB2312"/>
          <w:b w:val="0"/>
          <w:bCs/>
          <w:kern w:val="2"/>
          <w:sz w:val="32"/>
          <w:szCs w:val="32"/>
          <w:lang w:val="en-US" w:eastAsia="zh-CN" w:bidi="ar-SA"/>
        </w:rPr>
        <w:t>根据《国家税务总局关于纳税人取得虚开的增值税专用发票处理问题的通知》（国税发</w:t>
      </w:r>
      <w:r>
        <w:rPr>
          <w:rFonts w:hint="eastAsia" w:ascii="仿宋_GB2312" w:hAnsi="仿宋_GB2312" w:eastAsia="仿宋_GB2312" w:cs="仿宋_GB2312"/>
          <w:sz w:val="32"/>
          <w:szCs w:val="32"/>
          <w:u w:val="none"/>
          <w:lang w:val="en-US" w:eastAsia="zh-CN"/>
        </w:rPr>
        <w:t>〔1997〕</w:t>
      </w:r>
      <w:r>
        <w:rPr>
          <w:rFonts w:hint="eastAsia" w:ascii="仿宋_GB2312" w:hAnsi="仿宋_GB2312" w:eastAsia="仿宋_GB2312" w:cs="仿宋_GB2312"/>
          <w:b w:val="0"/>
          <w:bCs/>
          <w:kern w:val="2"/>
          <w:sz w:val="32"/>
          <w:szCs w:val="32"/>
          <w:lang w:val="en-US" w:eastAsia="zh-CN" w:bidi="ar-SA"/>
        </w:rPr>
        <w:t>134号）“一、受票方利用他人虚开的专用发票，向税务机关申报抵扣税款进行偷税的，应当依照《中华人民共和国税收征收管理法》及有关法规追缴税款，处以偷税数额五倍以下的罚款。</w:t>
      </w:r>
      <w:r>
        <w:rPr>
          <w:rFonts w:hint="eastAsia" w:ascii="仿宋_GB2312" w:hAnsi="华文仿宋" w:eastAsia="仿宋_GB2312" w:cs="华文仿宋"/>
          <w:color w:val="000000"/>
          <w:sz w:val="32"/>
          <w:szCs w:val="32"/>
        </w:rPr>
        <w:t>二、在货物交易中，购货方从销售方取得第三方开具的专用发票，或者从销货地以外的地区取得专用发票，向税务机关申报抵扣税款或者申请出口退税的，应当按偷税、骗取出口退税处理，依照《中华人民共和国税收征收管理法》及有关法规追缴税款，处以偷税、骗税数额五倍以下的罚款。</w:t>
      </w:r>
      <w:r>
        <w:rPr>
          <w:rFonts w:hint="eastAsia" w:ascii="仿宋_GB2312" w:hAnsi="仿宋_GB2312" w:eastAsia="仿宋_GB2312" w:cs="仿宋_GB2312"/>
          <w:b w:val="0"/>
          <w:bCs/>
          <w:kern w:val="2"/>
          <w:sz w:val="32"/>
          <w:szCs w:val="32"/>
          <w:lang w:val="en-US" w:eastAsia="zh-CN" w:bidi="ar-SA"/>
        </w:rPr>
        <w:t>”</w:t>
      </w:r>
    </w:p>
    <w:p w14:paraId="223120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sz w:val="32"/>
          <w:szCs w:val="32"/>
          <w:lang w:eastAsia="zh-CN"/>
        </w:rPr>
        <w:t>根据以上规定，你公司</w:t>
      </w:r>
      <w:r>
        <w:rPr>
          <w:rFonts w:hint="eastAsia" w:ascii="仿宋_GB2312" w:hAnsi="仿宋_GB2312" w:eastAsia="仿宋_GB2312" w:cs="仿宋_GB2312"/>
          <w:b w:val="0"/>
          <w:bCs/>
          <w:sz w:val="32"/>
          <w:szCs w:val="32"/>
        </w:rPr>
        <w:t>虚开增值税专用发票金额共计</w:t>
      </w:r>
      <w:r>
        <w:rPr>
          <w:rFonts w:hint="eastAsia" w:ascii="仿宋" w:hAnsi="仿宋" w:eastAsia="仿宋" w:cs="仿宋"/>
          <w:color w:val="000000"/>
          <w:sz w:val="32"/>
          <w:szCs w:val="32"/>
          <w:lang w:val="en-US" w:eastAsia="zh-CN"/>
        </w:rPr>
        <w:t>1,477,876.08</w:t>
      </w:r>
      <w:r>
        <w:rPr>
          <w:rFonts w:hint="eastAsia" w:ascii="仿宋_GB2312" w:hAnsi="仿宋_GB2312" w:eastAsia="仿宋_GB2312" w:cs="仿宋_GB2312"/>
          <w:b w:val="0"/>
          <w:bCs/>
          <w:sz w:val="32"/>
          <w:szCs w:val="32"/>
        </w:rPr>
        <w:t>元，建议对</w:t>
      </w:r>
      <w:r>
        <w:rPr>
          <w:rFonts w:hint="eastAsia" w:ascii="仿宋_GB2312" w:hAnsi="仿宋_GB2312" w:eastAsia="仿宋_GB2312" w:cs="仿宋_GB2312"/>
          <w:b w:val="0"/>
          <w:bCs/>
          <w:sz w:val="32"/>
          <w:szCs w:val="32"/>
          <w:lang w:eastAsia="zh-CN"/>
        </w:rPr>
        <w:t>你公司</w:t>
      </w:r>
      <w:r>
        <w:rPr>
          <w:rFonts w:hint="eastAsia" w:ascii="仿宋_GB2312" w:hAnsi="仿宋_GB2312" w:eastAsia="仿宋_GB2312" w:cs="仿宋_GB2312"/>
          <w:b w:val="0"/>
          <w:bCs/>
          <w:sz w:val="32"/>
          <w:szCs w:val="32"/>
        </w:rPr>
        <w:t>虚开增值税专用发票</w:t>
      </w:r>
      <w:r>
        <w:rPr>
          <w:rFonts w:hint="eastAsia" w:ascii="仿宋_GB2312" w:hAnsi="仿宋_GB2312" w:eastAsia="仿宋_GB2312" w:cs="仿宋_GB2312"/>
          <w:b w:val="0"/>
          <w:bCs/>
          <w:sz w:val="32"/>
          <w:szCs w:val="32"/>
          <w:lang w:eastAsia="zh-CN"/>
        </w:rPr>
        <w:t>的</w:t>
      </w:r>
      <w:r>
        <w:rPr>
          <w:rFonts w:hint="eastAsia" w:ascii="仿宋_GB2312" w:hAnsi="仿宋_GB2312" w:eastAsia="仿宋_GB2312" w:cs="仿宋_GB2312"/>
          <w:b w:val="0"/>
          <w:bCs/>
          <w:sz w:val="32"/>
          <w:szCs w:val="32"/>
        </w:rPr>
        <w:t>税收违法行为处以</w:t>
      </w:r>
      <w:r>
        <w:rPr>
          <w:rFonts w:hint="eastAsia" w:ascii="仿宋_GB2312" w:hAnsi="仿宋_GB2312" w:eastAsia="仿宋_GB2312" w:cs="仿宋_GB2312"/>
          <w:b w:val="0"/>
          <w:bCs/>
          <w:sz w:val="32"/>
          <w:szCs w:val="32"/>
          <w:lang w:val="en-US" w:eastAsia="zh-CN"/>
        </w:rPr>
        <w:t>100,000.00</w:t>
      </w:r>
      <w:r>
        <w:rPr>
          <w:rFonts w:hint="eastAsia" w:ascii="仿宋_GB2312" w:hAnsi="仿宋_GB2312" w:eastAsia="仿宋_GB2312" w:cs="仿宋_GB2312"/>
          <w:b w:val="0"/>
          <w:bCs/>
          <w:sz w:val="32"/>
          <w:szCs w:val="32"/>
        </w:rPr>
        <w:t>元的罚</w:t>
      </w:r>
      <w:r>
        <w:rPr>
          <w:rFonts w:hint="eastAsia" w:ascii="仿宋_GB2312" w:hAnsi="仿宋_GB2312" w:eastAsia="仿宋_GB2312" w:cs="仿宋_GB2312"/>
          <w:b w:val="0"/>
          <w:bCs/>
          <w:color w:val="auto"/>
          <w:sz w:val="32"/>
          <w:szCs w:val="32"/>
        </w:rPr>
        <w:t>款。</w:t>
      </w:r>
      <w:r>
        <w:rPr>
          <w:rFonts w:hint="eastAsia" w:ascii="仿宋_GB2312" w:hAnsi="仿宋_GB2312" w:eastAsia="仿宋_GB2312" w:cs="仿宋_GB2312"/>
          <w:b w:val="0"/>
          <w:color w:val="auto"/>
          <w:kern w:val="2"/>
          <w:sz w:val="32"/>
          <w:szCs w:val="32"/>
          <w:lang w:val="en-US" w:eastAsia="zh-CN" w:bidi="ar-SA"/>
        </w:rPr>
        <w:t>你公司为达到逃避缴纳税款目的，通过虚开发票手段在帐簿上多列支出造成少缴税款的行为，已构成偷税，</w:t>
      </w:r>
      <w:r>
        <w:rPr>
          <w:rFonts w:hint="eastAsia" w:ascii="仿宋_GB2312" w:hAnsi="仿宋_GB2312" w:eastAsia="仿宋_GB2312" w:cs="仿宋_GB2312"/>
          <w:color w:val="auto"/>
          <w:sz w:val="32"/>
          <w:szCs w:val="32"/>
        </w:rPr>
        <w:t>建议对</w:t>
      </w:r>
      <w:r>
        <w:rPr>
          <w:rFonts w:hint="eastAsia" w:ascii="仿宋_GB2312" w:hAnsi="仿宋_GB2312" w:eastAsia="仿宋_GB2312" w:cs="仿宋_GB2312"/>
          <w:color w:val="auto"/>
          <w:sz w:val="32"/>
          <w:szCs w:val="32"/>
          <w:lang w:eastAsia="zh-CN"/>
        </w:rPr>
        <w:t>你公司</w:t>
      </w:r>
      <w:r>
        <w:rPr>
          <w:rFonts w:hint="eastAsia" w:ascii="仿宋_GB2312" w:hAnsi="仿宋_GB2312" w:eastAsia="仿宋_GB2312" w:cs="仿宋_GB2312"/>
          <w:color w:val="auto"/>
          <w:sz w:val="32"/>
          <w:szCs w:val="32"/>
        </w:rPr>
        <w:t>少缴增值税</w:t>
      </w:r>
      <w:r>
        <w:rPr>
          <w:rFonts w:hint="eastAsia" w:ascii="仿宋" w:hAnsi="仿宋" w:eastAsia="仿宋" w:cs="仿宋"/>
          <w:color w:val="000000"/>
          <w:sz w:val="32"/>
          <w:szCs w:val="32"/>
          <w:lang w:val="en-US" w:eastAsia="zh-CN"/>
        </w:rPr>
        <w:t>192,123.92</w:t>
      </w:r>
      <w:r>
        <w:rPr>
          <w:rFonts w:hint="eastAsia" w:ascii="仿宋_GB2312" w:hAnsi="仿宋" w:eastAsia="仿宋_GB2312"/>
          <w:color w:val="auto"/>
          <w:sz w:val="32"/>
          <w:szCs w:val="32"/>
        </w:rPr>
        <w:t>元</w:t>
      </w:r>
      <w:r>
        <w:rPr>
          <w:rFonts w:hint="eastAsia" w:ascii="仿宋_GB2312" w:hAnsi="仿宋" w:eastAsia="仿宋_GB2312"/>
          <w:color w:val="auto"/>
          <w:sz w:val="32"/>
          <w:szCs w:val="32"/>
          <w:lang w:eastAsia="zh-CN"/>
        </w:rPr>
        <w:t>，</w:t>
      </w:r>
      <w:r>
        <w:rPr>
          <w:rFonts w:hint="eastAsia" w:ascii="仿宋_GB2312" w:hAnsi="仿宋_GB2312" w:eastAsia="仿宋_GB2312" w:cs="仿宋_GB2312"/>
          <w:color w:val="auto"/>
          <w:sz w:val="32"/>
          <w:szCs w:val="32"/>
        </w:rPr>
        <w:t>少缴</w:t>
      </w:r>
      <w:r>
        <w:rPr>
          <w:rFonts w:hint="eastAsia" w:ascii="仿宋_GB2312" w:hAnsi="仿宋" w:eastAsia="仿宋_GB2312"/>
          <w:color w:val="auto"/>
          <w:sz w:val="32"/>
          <w:szCs w:val="32"/>
        </w:rPr>
        <w:t>城市维护建设税</w:t>
      </w:r>
      <w:r>
        <w:rPr>
          <w:rFonts w:hint="eastAsia" w:ascii="仿宋_GB2312" w:hAnsi="华文仿宋" w:eastAsia="仿宋_GB2312" w:cs="华文仿宋"/>
          <w:color w:val="auto"/>
          <w:sz w:val="32"/>
          <w:szCs w:val="32"/>
          <w:highlight w:val="none"/>
          <w:lang w:val="en-US" w:eastAsia="zh-CN"/>
        </w:rPr>
        <w:t>9606.20</w:t>
      </w:r>
      <w:r>
        <w:rPr>
          <w:rFonts w:hint="eastAsia" w:ascii="仿宋_GB2312" w:hAnsi="仿宋" w:eastAsia="仿宋_GB2312"/>
          <w:color w:val="auto"/>
          <w:sz w:val="32"/>
          <w:szCs w:val="32"/>
        </w:rPr>
        <w:t>元</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rPr>
        <w:t>少缴企业所得税</w:t>
      </w:r>
      <w:r>
        <w:rPr>
          <w:rFonts w:hint="eastAsia" w:ascii="仿宋_GB2312" w:hAnsi="华文仿宋" w:eastAsia="仿宋_GB2312" w:cs="华文仿宋"/>
          <w:color w:val="auto"/>
          <w:sz w:val="32"/>
          <w:szCs w:val="32"/>
          <w:lang w:val="en-US" w:eastAsia="zh-CN"/>
        </w:rPr>
        <w:t>7</w:t>
      </w:r>
      <w:r>
        <w:rPr>
          <w:rFonts w:hint="eastAsia" w:ascii="仿宋_GB2312" w:hAnsi="华文仿宋" w:eastAsia="仿宋_GB2312" w:cs="华文仿宋"/>
          <w:color w:val="auto"/>
          <w:sz w:val="32"/>
          <w:szCs w:val="32"/>
          <w:highlight w:val="none"/>
          <w:lang w:val="en-US" w:eastAsia="zh-CN"/>
        </w:rPr>
        <w:t>1，807.70元均处0.5倍罚款</w:t>
      </w:r>
      <w:r>
        <w:rPr>
          <w:rFonts w:hint="eastAsia" w:ascii="仿宋_GB2312" w:hAnsi="仿宋_GB2312" w:eastAsia="仿宋_GB2312" w:cs="仿宋_GB2312"/>
          <w:color w:val="auto"/>
          <w:sz w:val="32"/>
          <w:szCs w:val="32"/>
        </w:rPr>
        <w:t>，罚款合计</w:t>
      </w:r>
      <w:r>
        <w:rPr>
          <w:rFonts w:hint="eastAsia" w:ascii="仿宋_GB2312" w:hAnsi="仿宋_GB2312" w:eastAsia="仿宋_GB2312" w:cs="仿宋_GB2312"/>
          <w:color w:val="auto"/>
          <w:sz w:val="32"/>
          <w:szCs w:val="32"/>
          <w:lang w:val="en-US" w:eastAsia="zh-CN"/>
        </w:rPr>
        <w:t>136,768.91</w:t>
      </w:r>
      <w:r>
        <w:rPr>
          <w:rFonts w:hint="eastAsia" w:ascii="仿宋_GB2312" w:hAnsi="仿宋_GB2312" w:eastAsia="仿宋_GB2312" w:cs="仿宋_GB2312"/>
          <w:color w:val="auto"/>
          <w:sz w:val="32"/>
          <w:szCs w:val="32"/>
        </w:rPr>
        <w:t>元。</w:t>
      </w:r>
    </w:p>
    <w:p w14:paraId="1D1906C2">
      <w:pPr>
        <w:pStyle w:val="2"/>
        <w:ind w:firstLine="640" w:firstLineChars="200"/>
        <w:jc w:val="both"/>
        <w:outlineLvl w:val="9"/>
        <w:rPr>
          <w:rFonts w:hint="eastAsia" w:ascii="仿宋_GB2312" w:hAnsi="仿宋" w:eastAsia="仿宋_GB2312"/>
          <w:b w:val="0"/>
          <w:bCs/>
          <w:color w:val="auto"/>
          <w:sz w:val="32"/>
          <w:szCs w:val="32"/>
          <w:lang w:eastAsia="zh-CN"/>
        </w:rPr>
      </w:pPr>
      <w:r>
        <w:rPr>
          <w:rFonts w:hint="eastAsia" w:ascii="仿宋_GB2312" w:hAnsi="仿宋" w:eastAsia="仿宋_GB2312"/>
          <w:b w:val="0"/>
          <w:bCs/>
          <w:color w:val="auto"/>
          <w:sz w:val="32"/>
          <w:szCs w:val="32"/>
          <w:lang w:eastAsia="zh-CN"/>
        </w:rPr>
        <w:t>根据《中华人民共和国行政处罚法》（</w:t>
      </w:r>
      <w:r>
        <w:rPr>
          <w:rFonts w:hint="eastAsia" w:ascii="仿宋_GB2312" w:hAnsi="仿宋" w:eastAsia="仿宋_GB2312"/>
          <w:b w:val="0"/>
          <w:bCs/>
          <w:color w:val="auto"/>
          <w:sz w:val="32"/>
          <w:szCs w:val="32"/>
          <w:lang w:val="en-US" w:eastAsia="zh-CN"/>
        </w:rPr>
        <w:t>2021年修订</w:t>
      </w:r>
      <w:r>
        <w:rPr>
          <w:rFonts w:hint="eastAsia" w:ascii="仿宋_GB2312" w:hAnsi="仿宋" w:eastAsia="仿宋_GB2312"/>
          <w:b w:val="0"/>
          <w:bCs/>
          <w:color w:val="auto"/>
          <w:sz w:val="32"/>
          <w:szCs w:val="32"/>
          <w:lang w:eastAsia="zh-CN"/>
        </w:rPr>
        <w:t>）第二十九条：“对当事人的同一违法行为，不得给予两次以上罚款的行政处罚。同一违法行为违反多个法律规范应当给予罚款处罚的，按照罚款数额高的规定处罚。”的规定，决定对你公司按照偷税的行为罚款</w:t>
      </w:r>
      <w:r>
        <w:rPr>
          <w:rFonts w:hint="eastAsia" w:ascii="仿宋_GB2312" w:hAnsi="仿宋" w:eastAsia="仿宋_GB2312"/>
          <w:b w:val="0"/>
          <w:bCs/>
          <w:color w:val="auto"/>
          <w:sz w:val="32"/>
          <w:szCs w:val="32"/>
          <w:lang w:val="en-US" w:eastAsia="zh-CN"/>
        </w:rPr>
        <w:t>136,768.91</w:t>
      </w:r>
      <w:r>
        <w:rPr>
          <w:rFonts w:hint="eastAsia" w:ascii="仿宋_GB2312" w:hAnsi="仿宋" w:eastAsia="仿宋_GB2312"/>
          <w:b w:val="0"/>
          <w:bCs/>
          <w:color w:val="auto"/>
          <w:sz w:val="32"/>
          <w:szCs w:val="32"/>
          <w:lang w:eastAsia="zh-CN"/>
        </w:rPr>
        <w:t>元。</w:t>
      </w:r>
    </w:p>
    <w:p w14:paraId="768D5186">
      <w:pPr>
        <w:keepNext w:val="0"/>
        <w:keepLines w:val="0"/>
        <w:pageBreakBefore w:val="0"/>
        <w:widowControl w:val="0"/>
        <w:kinsoku/>
        <w:wordWrap/>
        <w:overflowPunct/>
        <w:topLinePunct w:val="0"/>
        <w:bidi w:val="0"/>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w:t>
      </w:r>
      <w:r>
        <w:rPr>
          <w:rFonts w:hint="eastAsia" w:ascii="仿宋_GB2312" w:hAnsi="仿宋_GB2312" w:eastAsia="仿宋_GB2312" w:cs="仿宋_GB2312"/>
          <w:color w:val="auto"/>
          <w:sz w:val="32"/>
          <w:szCs w:val="32"/>
          <w:lang w:eastAsia="zh-CN"/>
        </w:rPr>
        <w:t>你公司</w:t>
      </w:r>
      <w:r>
        <w:rPr>
          <w:rFonts w:hint="eastAsia" w:ascii="仿宋_GB2312" w:hAnsi="仿宋_GB2312" w:eastAsia="仿宋_GB2312" w:cs="仿宋_GB2312"/>
          <w:color w:val="auto"/>
          <w:sz w:val="32"/>
          <w:szCs w:val="32"/>
        </w:rPr>
        <w:t>有陈述、申辩的权利。请在我局作出税务行政处罚决定之前，到我局进行陈述、申辩或自行提供陈述、申辩材料；逾期不进行陈述、申辩的，视同放弃权利。</w:t>
      </w:r>
    </w:p>
    <w:p w14:paraId="17840618">
      <w:pPr>
        <w:keepNext w:val="0"/>
        <w:keepLines w:val="0"/>
        <w:pageBreakBefore w:val="0"/>
        <w:widowControl w:val="0"/>
        <w:kinsoku/>
        <w:wordWrap/>
        <w:overflowPunct/>
        <w:topLinePunct w:val="0"/>
        <w:bidi w:val="0"/>
        <w:snapToGrid/>
        <w:spacing w:line="560" w:lineRule="exact"/>
        <w:ind w:lef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三、若拟对你罚款 2000 元（含 2000 元）以上，拟对你单位罚款10000元（含 10000 元）以上，或符合《中华人民共和国行政处罚法》第六十三条规定的其他情形的，你（单位）有要求听证的权利。可自收到本告知书之日起五个工作日内向我局书面提出听证申请；逾期不提出，视为放弃听证权利。</w:t>
      </w:r>
    </w:p>
    <w:p w14:paraId="495C171F">
      <w:pPr>
        <w:keepNext w:val="0"/>
        <w:keepLines w:val="0"/>
        <w:pageBreakBefore w:val="0"/>
        <w:widowControl w:val="0"/>
        <w:kinsoku/>
        <w:wordWrap/>
        <w:overflowPunct/>
        <w:topLinePunct w:val="0"/>
        <w:bidi w:val="0"/>
        <w:snapToGrid/>
        <w:spacing w:line="560" w:lineRule="exact"/>
        <w:jc w:val="left"/>
        <w:textAlignment w:val="auto"/>
        <w:rPr>
          <w:rFonts w:hint="eastAsia" w:ascii="仿宋_GB2312" w:hAnsi="仿宋_GB2312" w:eastAsia="仿宋_GB2312" w:cs="仿宋_GB2312"/>
          <w:color w:val="auto"/>
          <w:sz w:val="32"/>
          <w:szCs w:val="32"/>
          <w:lang w:eastAsia="zh-CN"/>
        </w:rPr>
      </w:pPr>
    </w:p>
    <w:p w14:paraId="6890A374">
      <w:pPr>
        <w:keepNext w:val="0"/>
        <w:keepLines w:val="0"/>
        <w:pageBreakBefore w:val="0"/>
        <w:widowControl w:val="0"/>
        <w:kinsoku/>
        <w:wordWrap/>
        <w:overflowPunct/>
        <w:topLinePunct w:val="0"/>
        <w:bidi w:val="0"/>
        <w:snapToGrid/>
        <w:spacing w:line="560" w:lineRule="exact"/>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联系人：杨娜娜、王献晨</w:t>
      </w:r>
    </w:p>
    <w:p w14:paraId="2557B7D9">
      <w:pPr>
        <w:pStyle w:val="2"/>
        <w:ind w:left="0" w:leftChars="0" w:firstLine="0" w:firstLineChars="0"/>
        <w:jc w:val="left"/>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联系电话：</w:t>
      </w:r>
      <w:r>
        <w:rPr>
          <w:rFonts w:hint="eastAsia" w:ascii="仿宋_GB2312" w:hAnsi="仿宋_GB2312" w:eastAsia="仿宋_GB2312" w:cs="仿宋_GB2312"/>
          <w:color w:val="auto"/>
          <w:sz w:val="32"/>
          <w:szCs w:val="32"/>
          <w:lang w:val="en-US" w:eastAsia="zh-CN"/>
        </w:rPr>
        <w:t>0477-8888959</w:t>
      </w:r>
    </w:p>
    <w:p w14:paraId="5CDAD3A3">
      <w:pPr>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联系地址：</w:t>
      </w:r>
      <w:r>
        <w:rPr>
          <w:rFonts w:hint="eastAsia" w:ascii="仿宋_GB2312" w:hAnsi="仿宋_GB2312" w:eastAsia="仿宋_GB2312" w:cs="仿宋_GB2312"/>
          <w:color w:val="auto"/>
          <w:sz w:val="32"/>
          <w:szCs w:val="32"/>
          <w:lang w:val="en-US" w:eastAsia="zh-CN"/>
        </w:rPr>
        <w:t>国家税务总局鄂尔多斯市税务局第三稽查局</w:t>
      </w:r>
    </w:p>
    <w:p w14:paraId="2365233C">
      <w:pPr>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邮政编码：</w:t>
      </w:r>
      <w:r>
        <w:rPr>
          <w:rFonts w:hint="eastAsia" w:ascii="仿宋_GB2312" w:hAnsi="仿宋_GB2312" w:eastAsia="仿宋_GB2312" w:cs="仿宋_GB2312"/>
          <w:color w:val="auto"/>
          <w:sz w:val="32"/>
          <w:szCs w:val="32"/>
          <w:lang w:val="en-US" w:eastAsia="zh-CN"/>
        </w:rPr>
        <w:t>017200</w:t>
      </w:r>
    </w:p>
    <w:p w14:paraId="0797337F">
      <w:pPr>
        <w:keepNext w:val="0"/>
        <w:keepLines w:val="0"/>
        <w:pageBreakBefore w:val="0"/>
        <w:widowControl w:val="0"/>
        <w:kinsoku/>
        <w:wordWrap/>
        <w:overflowPunct/>
        <w:topLinePunct w:val="0"/>
        <w:bidi w:val="0"/>
        <w:snapToGrid/>
        <w:spacing w:line="560" w:lineRule="exact"/>
        <w:ind w:left="0" w:firstLine="4800" w:firstLineChars="15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税务机关（印章）</w:t>
      </w:r>
      <w:r>
        <w:rPr>
          <w:rFonts w:hint="eastAsia" w:ascii="仿宋_GB2312" w:hAnsi="仿宋_GB2312" w:eastAsia="仿宋_GB2312" w:cs="仿宋_GB2312"/>
          <w:color w:val="auto"/>
          <w:sz w:val="32"/>
          <w:szCs w:val="32"/>
        </w:rPr>
        <w:t xml:space="preserve">    </w:t>
      </w:r>
    </w:p>
    <w:p w14:paraId="39A973FF">
      <w:pPr>
        <w:keepNext w:val="0"/>
        <w:keepLines w:val="0"/>
        <w:pageBreakBefore w:val="0"/>
        <w:widowControl w:val="0"/>
        <w:kinsoku/>
        <w:wordWrap/>
        <w:overflowPunct/>
        <w:topLinePunct w:val="0"/>
        <w:bidi w:val="0"/>
        <w:snapToGrid/>
        <w:spacing w:line="560" w:lineRule="exact"/>
        <w:ind w:left="0" w:firstLine="640" w:firstLineChars="200"/>
        <w:jc w:val="both"/>
        <w:textAlignment w:val="auto"/>
        <w:rPr>
          <w:rFonts w:hint="eastAsia"/>
          <w:color w:val="auto"/>
          <w:spacing w:val="20"/>
          <w:sz w:val="52"/>
          <w:szCs w:val="52"/>
        </w:rPr>
        <w:sectPr>
          <w:headerReference r:id="rId3" w:type="default"/>
          <w:footerReference r:id="rId4" w:type="default"/>
          <w:pgSz w:w="11906" w:h="16838"/>
          <w:pgMar w:top="1814" w:right="1474" w:bottom="1701" w:left="1588" w:header="851" w:footer="992" w:gutter="0"/>
          <w:cols w:space="425" w:num="1"/>
          <w:docGrid w:type="lines" w:linePitch="312" w:charSpace="0"/>
        </w:sectPr>
      </w:pPr>
      <w:r>
        <w:rPr>
          <w:rFonts w:hint="eastAsia" w:ascii="仿宋_GB2312" w:hAnsi="仿宋_GB2312" w:eastAsia="仿宋_GB2312" w:cs="仿宋_GB2312"/>
          <w:color w:val="auto"/>
          <w:sz w:val="32"/>
          <w:szCs w:val="32"/>
        </w:rPr>
        <w:t xml:space="preserve">                          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23</w:t>
      </w:r>
      <w:r>
        <w:rPr>
          <w:rFonts w:hint="eastAsia" w:ascii="仿宋_GB2312" w:hAnsi="仿宋_GB2312" w:eastAsia="仿宋_GB2312" w:cs="仿宋_GB2312"/>
          <w:color w:val="auto"/>
          <w:sz w:val="32"/>
          <w:szCs w:val="32"/>
        </w:rPr>
        <w:t>日</w:t>
      </w:r>
    </w:p>
    <w:p w14:paraId="0CCC747F">
      <w:pPr>
        <w:rPr>
          <w:color w:val="auto"/>
        </w:rPr>
      </w:pPr>
    </w:p>
    <w:sectPr>
      <w:headerReference r:id="rId5" w:type="default"/>
      <w:footerReference r:id="rId6" w:type="default"/>
      <w:pgSz w:w="11906" w:h="16838"/>
      <w:pgMar w:top="1814" w:right="1474" w:bottom="1701"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Helvetica">
    <w:altName w:val="Arial"/>
    <w:panose1 w:val="020B0604020202020204"/>
    <w:charset w:val="00"/>
    <w:family w:val="swiss"/>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Cambria">
    <w:panose1 w:val="02040803050406030204"/>
    <w:charset w:val="00"/>
    <w:family w:val="roman"/>
    <w:pitch w:val="default"/>
    <w:sig w:usb0="E00006FF" w:usb1="4000045F" w:usb2="00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仿宋">
    <w:panose1 w:val="02010609060101010101"/>
    <w:charset w:val="86"/>
    <w:family w:val="modern"/>
    <w:pitch w:val="default"/>
    <w:sig w:usb0="800002BF" w:usb1="38CF7CFA" w:usb2="00000016" w:usb3="00000000" w:csb0="00040001" w:csb1="00000000"/>
  </w:font>
  <w:font w:name="仿宋-宋">
    <w:altName w:val="仿宋"/>
    <w:panose1 w:val="00000000000000000000"/>
    <w:charset w:val="86"/>
    <w:family w:val="roman"/>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58AB1">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4EED55">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C4EED55">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C0554">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86457">
    <w:pPr>
      <w:pStyle w:val="7"/>
      <w:rPr>
        <w:rFonts w:hint="eastAsia" w:eastAsiaTheme="minorEastAsia"/>
        <w:lang w:eastAsia="zh-CN"/>
      </w:rPr>
    </w:pPr>
    <w:r>
      <w:rPr>
        <w:rFonts w:hint="eastAsia"/>
        <w:lang w:val="en-US" w:eastAsia="zh-CN"/>
      </w:rPr>
      <w:t xml:space="preserve">                                                                                     </w:t>
    </w:r>
    <w:r>
      <w:rPr>
        <w:rFonts w:hint="eastAsia" w:eastAsiaTheme="minorEastAsia"/>
        <w:lang w:eastAsia="zh-CN"/>
      </w:rPr>
      <w:drawing>
        <wp:inline distT="0" distB="0" distL="114300" distR="114300">
          <wp:extent cx="671195" cy="671195"/>
          <wp:effectExtent l="0" t="0" r="14605" b="14605"/>
          <wp:docPr id="3" name="图片 3" descr="28ad1ffb0658cb48bbf119707adc6c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8ad1ffb0658cb48bbf119707adc6c0f"/>
                  <pic:cNvPicPr>
                    <a:picLocks noChangeAspect="1"/>
                  </pic:cNvPicPr>
                </pic:nvPicPr>
                <pic:blipFill>
                  <a:blip r:embed="rId1"/>
                  <a:stretch>
                    <a:fillRect/>
                  </a:stretch>
                </pic:blipFill>
                <pic:spPr>
                  <a:xfrm>
                    <a:off x="0" y="0"/>
                    <a:ext cx="671195" cy="67119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68861">
    <w:pPr>
      <w:pStyle w:val="7"/>
      <w:rPr>
        <w:rFonts w:hint="eastAsia" w:eastAsiaTheme="minorEastAsia"/>
        <w:lang w:eastAsia="zh-CN"/>
      </w:rPr>
    </w:pPr>
    <w:r>
      <w:rPr>
        <w:rFonts w:hint="eastAsia"/>
        <w:lang w:val="en-US" w:eastAsia="zh-CN"/>
      </w:rPr>
      <w:t xml:space="preserve">                                                                                     </w:t>
    </w:r>
    <w:r>
      <w:rPr>
        <w:rFonts w:hint="eastAsia" w:eastAsiaTheme="minorEastAsia"/>
        <w:lang w:eastAsia="zh-CN"/>
      </w:rPr>
      <w:drawing>
        <wp:inline distT="0" distB="0" distL="114300" distR="114300">
          <wp:extent cx="671195" cy="671195"/>
          <wp:effectExtent l="0" t="0" r="14605" b="14605"/>
          <wp:docPr id="4" name="图片 4" descr="28ad1ffb0658cb48bbf119707adc6c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8ad1ffb0658cb48bbf119707adc6c0f"/>
                  <pic:cNvPicPr>
                    <a:picLocks noChangeAspect="1"/>
                  </pic:cNvPicPr>
                </pic:nvPicPr>
                <pic:blipFill>
                  <a:blip r:embed="rId1"/>
                  <a:stretch>
                    <a:fillRect/>
                  </a:stretch>
                </pic:blipFill>
                <pic:spPr>
                  <a:xfrm>
                    <a:off x="0" y="0"/>
                    <a:ext cx="671195" cy="67119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6837FD"/>
    <w:rsid w:val="01AC278D"/>
    <w:rsid w:val="02D65B36"/>
    <w:rsid w:val="0359242D"/>
    <w:rsid w:val="04037078"/>
    <w:rsid w:val="048F7657"/>
    <w:rsid w:val="0B0C36F7"/>
    <w:rsid w:val="0CB9780E"/>
    <w:rsid w:val="13435DE6"/>
    <w:rsid w:val="15732B45"/>
    <w:rsid w:val="15844DED"/>
    <w:rsid w:val="160A2B0B"/>
    <w:rsid w:val="16C06B1A"/>
    <w:rsid w:val="17A42705"/>
    <w:rsid w:val="1A1844DA"/>
    <w:rsid w:val="1C90282A"/>
    <w:rsid w:val="1DA05E7D"/>
    <w:rsid w:val="1EC25C33"/>
    <w:rsid w:val="1FA2174E"/>
    <w:rsid w:val="227E0F13"/>
    <w:rsid w:val="2373665B"/>
    <w:rsid w:val="24560220"/>
    <w:rsid w:val="25495999"/>
    <w:rsid w:val="260F3653"/>
    <w:rsid w:val="26956857"/>
    <w:rsid w:val="27427F6E"/>
    <w:rsid w:val="2BFC728F"/>
    <w:rsid w:val="2E2231C5"/>
    <w:rsid w:val="2EE90CA8"/>
    <w:rsid w:val="316837FD"/>
    <w:rsid w:val="34E12226"/>
    <w:rsid w:val="34F6763C"/>
    <w:rsid w:val="383A26AD"/>
    <w:rsid w:val="38FD61CC"/>
    <w:rsid w:val="3B3238D4"/>
    <w:rsid w:val="3CE3750B"/>
    <w:rsid w:val="40924EBA"/>
    <w:rsid w:val="4183712F"/>
    <w:rsid w:val="44DA7BA0"/>
    <w:rsid w:val="45C8376C"/>
    <w:rsid w:val="46BB2CE8"/>
    <w:rsid w:val="46D154E3"/>
    <w:rsid w:val="48EB6B85"/>
    <w:rsid w:val="4B970E69"/>
    <w:rsid w:val="4CF340F3"/>
    <w:rsid w:val="4D171C69"/>
    <w:rsid w:val="4D5D35A0"/>
    <w:rsid w:val="4E303B84"/>
    <w:rsid w:val="4E9076B2"/>
    <w:rsid w:val="51D9536A"/>
    <w:rsid w:val="53794425"/>
    <w:rsid w:val="53E32707"/>
    <w:rsid w:val="53F116FA"/>
    <w:rsid w:val="58621056"/>
    <w:rsid w:val="588B10AD"/>
    <w:rsid w:val="5A420C72"/>
    <w:rsid w:val="5AC52577"/>
    <w:rsid w:val="5AD32179"/>
    <w:rsid w:val="5B7B159F"/>
    <w:rsid w:val="5D711E4E"/>
    <w:rsid w:val="602112C4"/>
    <w:rsid w:val="605D7518"/>
    <w:rsid w:val="60CF2B5D"/>
    <w:rsid w:val="62C37B89"/>
    <w:rsid w:val="6562159B"/>
    <w:rsid w:val="65A4066E"/>
    <w:rsid w:val="66645EC9"/>
    <w:rsid w:val="697A2A5A"/>
    <w:rsid w:val="69887556"/>
    <w:rsid w:val="6AF0240C"/>
    <w:rsid w:val="6AFC63F1"/>
    <w:rsid w:val="6C993E6E"/>
    <w:rsid w:val="6F704EBE"/>
    <w:rsid w:val="71301B02"/>
    <w:rsid w:val="73552E86"/>
    <w:rsid w:val="73AD7090"/>
    <w:rsid w:val="73B03B73"/>
    <w:rsid w:val="74377D94"/>
    <w:rsid w:val="765D6708"/>
    <w:rsid w:val="769022CB"/>
    <w:rsid w:val="7B32696F"/>
    <w:rsid w:val="7CD7039B"/>
    <w:rsid w:val="7ED725D6"/>
    <w:rsid w:val="DCDFB706"/>
    <w:rsid w:val="EFECE8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ascii="Helvetica" w:hAnsi="Helvetica" w:eastAsia="宋体" w:cs="Times New Roman"/>
      <w:b/>
      <w:bCs/>
      <w:kern w:val="44"/>
      <w:sz w:val="32"/>
      <w:szCs w:val="44"/>
      <w:lang w:val="en-GB"/>
    </w:rPr>
  </w:style>
  <w:style w:type="paragraph" w:styleId="4">
    <w:name w:val="heading 2"/>
    <w:basedOn w:val="1"/>
    <w:next w:val="1"/>
    <w:semiHidden/>
    <w:unhideWhenUsed/>
    <w:qFormat/>
    <w:uiPriority w:val="0"/>
    <w:pPr>
      <w:keepNext/>
      <w:keepLines/>
      <w:spacing w:before="260" w:beforeLines="0" w:beforeAutospacing="0" w:after="260" w:afterLines="0" w:afterAutospacing="0" w:line="560" w:lineRule="exact"/>
      <w:ind w:firstLine="1121" w:firstLineChars="200"/>
      <w:outlineLvl w:val="1"/>
    </w:pPr>
    <w:rPr>
      <w:rFonts w:ascii="Arial" w:hAnsi="Arial" w:eastAsia="仿宋_GB2312" w:cs="Times New Roman"/>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ind w:firstLine="200" w:firstLineChars="200"/>
      <w:jc w:val="center"/>
      <w:outlineLvl w:val="0"/>
    </w:pPr>
    <w:rPr>
      <w:rFonts w:ascii="Cambria" w:hAnsi="Cambria" w:eastAsia="方正小标宋简体" w:cs="Cambria"/>
    </w:rPr>
  </w:style>
  <w:style w:type="paragraph" w:styleId="5">
    <w:name w:val="Normal Indent"/>
    <w:basedOn w:val="1"/>
    <w:qFormat/>
    <w:uiPriority w:val="0"/>
    <w:pPr>
      <w:ind w:firstLine="420" w:firstLineChars="200"/>
    </w:pPr>
    <w:rPr>
      <w:rFonts w:ascii="Times New Roman" w:hAnsi="Times New Roman" w:eastAsia="宋体" w:cs="Times New Roman"/>
      <w:szCs w:val="24"/>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0">
    <w:name w:val="Strong"/>
    <w:basedOn w:val="9"/>
    <w:qFormat/>
    <w:uiPriority w:val="0"/>
  </w:style>
  <w:style w:type="character" w:styleId="11">
    <w:name w:val="Emphasis"/>
    <w:basedOn w:val="9"/>
    <w:qFormat/>
    <w:uiPriority w:val="0"/>
  </w:style>
  <w:style w:type="character" w:styleId="12">
    <w:name w:val="HTML Definition"/>
    <w:basedOn w:val="9"/>
    <w:qFormat/>
    <w:uiPriority w:val="0"/>
    <w:rPr>
      <w:sz w:val="14"/>
      <w:szCs w:val="14"/>
    </w:rPr>
  </w:style>
  <w:style w:type="character" w:styleId="13">
    <w:name w:val="HTML Acronym"/>
    <w:basedOn w:val="9"/>
    <w:qFormat/>
    <w:uiPriority w:val="0"/>
    <w:rPr>
      <w:u w:val="none"/>
    </w:rPr>
  </w:style>
  <w:style w:type="character" w:styleId="14">
    <w:name w:val="HTML Variable"/>
    <w:basedOn w:val="9"/>
    <w:qFormat/>
    <w:uiPriority w:val="0"/>
  </w:style>
  <w:style w:type="character" w:styleId="15">
    <w:name w:val="HTML Code"/>
    <w:basedOn w:val="9"/>
    <w:qFormat/>
    <w:uiPriority w:val="0"/>
    <w:rPr>
      <w:rFonts w:ascii="Courier New" w:hAnsi="Courier New"/>
      <w:sz w:val="20"/>
    </w:rPr>
  </w:style>
  <w:style w:type="character" w:styleId="16">
    <w:name w:val="HTML Cite"/>
    <w:basedOn w:val="9"/>
    <w:qFormat/>
    <w:uiPriority w:val="0"/>
  </w:style>
  <w:style w:type="paragraph" w:customStyle="1" w:styleId="17">
    <w:name w:val="Normal Indent1"/>
    <w:basedOn w:val="18"/>
    <w:next w:val="1"/>
    <w:qFormat/>
    <w:uiPriority w:val="99"/>
    <w:pPr>
      <w:widowControl w:val="0"/>
      <w:spacing w:line="660" w:lineRule="exact"/>
      <w:ind w:firstLine="720" w:firstLineChars="200"/>
      <w:jc w:val="both"/>
    </w:pPr>
    <w:rPr>
      <w:rFonts w:ascii="Times New Roman" w:hAnsi="Times New Roman" w:eastAsia="楷体_GB2312" w:cs="Times New Roman"/>
      <w:kern w:val="2"/>
      <w:sz w:val="36"/>
      <w:szCs w:val="36"/>
      <w:lang w:val="en-US" w:eastAsia="zh-CN" w:bidi="ar-SA"/>
    </w:rPr>
  </w:style>
  <w:style w:type="paragraph" w:customStyle="1" w:styleId="18">
    <w:name w:val="正文 New New New"/>
    <w:next w:val="1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Default"/>
    <w:qFormat/>
    <w:uiPriority w:val="0"/>
    <w:pPr>
      <w:widowControl w:val="0"/>
      <w:autoSpaceDE w:val="0"/>
      <w:autoSpaceDN w:val="0"/>
      <w:adjustRightInd w:val="0"/>
    </w:pPr>
    <w:rPr>
      <w:rFonts w:ascii="华文中宋" w:eastAsia="华文中宋" w:cs="华文中宋" w:hAnsiTheme="minorHAnsi"/>
      <w:color w:val="000000"/>
      <w:kern w:val="0"/>
      <w:sz w:val="24"/>
      <w:szCs w:val="24"/>
      <w:lang w:val="en-US" w:eastAsia="zh-CN" w:bidi="ar-SA"/>
    </w:rPr>
  </w:style>
  <w:style w:type="character" w:customStyle="1" w:styleId="20">
    <w:name w:val="hover"/>
    <w:basedOn w:val="9"/>
    <w:qFormat/>
    <w:uiPriority w:val="0"/>
  </w:style>
  <w:style w:type="character" w:customStyle="1" w:styleId="21">
    <w:name w:val="hover1"/>
    <w:basedOn w:val="9"/>
    <w:qFormat/>
    <w:uiPriority w:val="0"/>
  </w:style>
  <w:style w:type="character" w:customStyle="1" w:styleId="22">
    <w:name w:val="red2"/>
    <w:basedOn w:val="9"/>
    <w:qFormat/>
    <w:uiPriority w:val="0"/>
    <w:rPr>
      <w:rFonts w:hint="eastAsia" w:ascii="宋体" w:hAnsi="宋体" w:eastAsia="宋体" w:cs="宋体"/>
      <w:b/>
      <w:bCs/>
      <w:color w:val="FF0000"/>
    </w:rPr>
  </w:style>
  <w:style w:type="character" w:customStyle="1" w:styleId="23">
    <w:name w:val="tree-text"/>
    <w:basedOn w:val="9"/>
    <w:qFormat/>
    <w:uiPriority w:val="0"/>
  </w:style>
  <w:style w:type="character" w:customStyle="1" w:styleId="24">
    <w:name w:val="hover10"/>
    <w:basedOn w:val="9"/>
    <w:qFormat/>
    <w:uiPriority w:val="0"/>
  </w:style>
  <w:style w:type="character" w:customStyle="1" w:styleId="25">
    <w:name w:val="hover11"/>
    <w:basedOn w:val="9"/>
    <w:qFormat/>
    <w:uiPriority w:val="0"/>
  </w:style>
  <w:style w:type="character" w:customStyle="1" w:styleId="26">
    <w:name w:val="15"/>
    <w:basedOn w:val="9"/>
    <w:qFormat/>
    <w:uiPriority w:val="0"/>
    <w:rPr>
      <w:rFonts w:hint="default" w:ascii="Times New Roman" w:hAnsi="Times New Roman" w:cs="Times New Roman"/>
      <w:b/>
      <w:bCs/>
    </w:rPr>
  </w:style>
  <w:style w:type="character" w:customStyle="1" w:styleId="27">
    <w:name w:val="red"/>
    <w:basedOn w:val="9"/>
    <w:qFormat/>
    <w:uiPriority w:val="0"/>
    <w:rPr>
      <w:rFonts w:hint="eastAsia" w:ascii="宋体" w:hAnsi="宋体" w:eastAsia="宋体" w:cs="宋体"/>
      <w:b/>
      <w:bCs/>
      <w:color w:val="FF000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9</TotalTime>
  <ScaleCrop>false</ScaleCrop>
  <LinksUpToDate>false</LinksUpToDate>
  <CharactersWithSpaces>0</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2024-06-18T23:18:00Z</dcterms:created>
  <dc:creator>杨娜娜</dc:creator>
  <cp:lastModifiedBy>BGS</cp:lastModifiedBy>
  <cp:lastPrinted>2026-09-24T01:54:00Z</cp:lastPrinted>
  <dcterms:modified xsi:type="dcterms:W3CDTF">2026-10-10T11:09:26Z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EB2D6A2BD224ACB6D816BB6A4AF2E1E8_42</vt:lpwstr>
  </property>
</Properties>
</file>