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28D52">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国家税务总局太仆寺旗税务局</w:t>
      </w:r>
    </w:p>
    <w:p w14:paraId="503569D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关于2025年度法治政府建设情况报告</w:t>
      </w:r>
    </w:p>
    <w:p w14:paraId="087441B2">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 w:eastAsia="仿宋_GB2312" w:cs="Times New Roman"/>
          <w:snapToGrid w:val="0"/>
          <w:kern w:val="0"/>
          <w:sz w:val="32"/>
          <w:szCs w:val="32"/>
          <w:lang w:val="en-US" w:eastAsia="zh-CN" w:bidi="ar-SA"/>
        </w:rPr>
      </w:pPr>
      <w:bookmarkStart w:id="0" w:name="heading_0"/>
    </w:p>
    <w:p w14:paraId="6B571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napToGrid w:val="0"/>
          <w:kern w:val="0"/>
          <w:sz w:val="32"/>
          <w:szCs w:val="32"/>
          <w:lang w:val="en-US" w:eastAsia="zh-CN" w:bidi="ar-SA"/>
        </w:rPr>
      </w:pPr>
      <w:bookmarkStart w:id="20" w:name="_GoBack"/>
      <w:r>
        <w:rPr>
          <w:rFonts w:hint="eastAsia" w:ascii="仿宋_GB2312" w:hAnsi="仿宋" w:eastAsia="仿宋_GB2312" w:cs="Times New Roman"/>
          <w:snapToGrid w:val="0"/>
          <w:kern w:val="0"/>
          <w:sz w:val="32"/>
          <w:szCs w:val="32"/>
          <w:lang w:val="en-US" w:eastAsia="zh-CN" w:bidi="ar-SA"/>
        </w:rPr>
        <w:t>2025年，国家税务总局太仆寺旗税务局坚持以习近平新时代中国特色社会主义思想为指导，深入学习贯彻习近平法治思想，全面落实党的二十大及历次全会精神，紧紧围绕《法治政府建设实施纲要（2021-2025年）》确定的重点方向，严格落实盟局党委、旗委政府各项工作部署，结合税收征管改革实践，扎实推进法治政府建设各项工作，现将全年工作情况报告如下：</w:t>
      </w:r>
    </w:p>
    <w:p w14:paraId="2B1B5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一、2025年法治政府建设主要工作及成效</w:t>
      </w:r>
      <w:bookmarkEnd w:id="0"/>
    </w:p>
    <w:p w14:paraId="318D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 w:name="heading_1"/>
      <w:r>
        <w:rPr>
          <w:rFonts w:hint="eastAsia" w:ascii="楷体" w:hAnsi="楷体" w:eastAsia="楷体" w:cs="楷体"/>
          <w:snapToGrid w:val="0"/>
          <w:kern w:val="0"/>
          <w:sz w:val="32"/>
          <w:szCs w:val="32"/>
          <w:lang w:val="en-US" w:eastAsia="zh-CN" w:bidi="ar-SA"/>
        </w:rPr>
        <w:t>（一）强化思想引领，筑牢法治建设政治根基</w:t>
      </w:r>
      <w:bookmarkEnd w:id="1"/>
    </w:p>
    <w:p w14:paraId="58978A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一是构建分层分类学习体系</w:t>
      </w:r>
      <w:r>
        <w:rPr>
          <w:rFonts w:hint="eastAsia" w:ascii="仿宋_GB2312" w:hAnsi="仿宋" w:eastAsia="仿宋_GB2312"/>
          <w:b/>
          <w:bCs/>
          <w:snapToGrid w:val="0"/>
          <w:kern w:val="0"/>
          <w:sz w:val="32"/>
          <w:szCs w:val="32"/>
          <w:lang w:val="en-US" w:eastAsia="zh-CN"/>
        </w:rPr>
        <w:t>。</w:t>
      </w:r>
      <w:r>
        <w:rPr>
          <w:rFonts w:hint="eastAsia" w:ascii="仿宋_GB2312" w:hAnsi="仿宋" w:eastAsia="仿宋_GB2312" w:cs="Times New Roman"/>
          <w:snapToGrid w:val="0"/>
          <w:kern w:val="0"/>
          <w:sz w:val="32"/>
          <w:szCs w:val="32"/>
          <w:lang w:val="en-US" w:eastAsia="zh-CN" w:bidi="ar-SA"/>
        </w:rPr>
        <w:t>坚持把学习贯彻习近平法治思想作为首要政治任务，严格落实会前学法，建立“党委理论学习中心组领学、党支部研学、青年理论小组促学”的三级学习机制，全年组织党委理论学习中心组专题学习12次，开展专题研讨8次，各党支部依托“三会一课”、主题党日开展法治学习48次，青年理论小组开展“青年说法”活动12次，</w:t>
      </w:r>
      <w:r>
        <w:rPr>
          <w:rFonts w:hint="eastAsia" w:ascii="仿宋_GB2312" w:hAnsi="仿宋_GB2312" w:eastAsia="仿宋_GB2312" w:cs="仿宋_GB2312"/>
          <w:sz w:val="32"/>
          <w:szCs w:val="32"/>
          <w:lang w:val="en-US" w:eastAsia="zh-CN"/>
        </w:rPr>
        <w:t>举办专题读书班2期、脱岗培训4期，参与243人次，</w:t>
      </w:r>
      <w:r>
        <w:rPr>
          <w:rFonts w:hint="eastAsia" w:ascii="仿宋_GB2312" w:hAnsi="仿宋" w:eastAsia="仿宋_GB2312" w:cs="Times New Roman"/>
          <w:snapToGrid w:val="0"/>
          <w:kern w:val="0"/>
          <w:sz w:val="32"/>
          <w:szCs w:val="32"/>
          <w:lang w:val="en-US" w:eastAsia="zh-CN" w:bidi="ar-SA"/>
        </w:rPr>
        <w:t>实现全局干部职工法治学习全覆盖。</w:t>
      </w:r>
    </w:p>
    <w:p w14:paraId="073A8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二是压实法治建设领导责任。</w:t>
      </w:r>
      <w:r>
        <w:rPr>
          <w:rFonts w:hint="eastAsia" w:ascii="仿宋_GB2312" w:hAnsi="仿宋" w:eastAsia="仿宋_GB2312" w:cs="Times New Roman"/>
          <w:snapToGrid w:val="0"/>
          <w:kern w:val="0"/>
          <w:sz w:val="32"/>
          <w:szCs w:val="32"/>
          <w:lang w:val="en-US" w:eastAsia="zh-CN" w:bidi="ar-SA"/>
        </w:rPr>
        <w:t>严格落实党政主要负责人履行推进法治建设第一责任人职责，将法治政府建设纳入全局重点工作部署和绩效考核体系，成立由党委书记、局长任组长的全面依法行政领导小组，全年召开领导小组会议4次，专题研究解决法治建设中的重点难点问题12项。健全“一把手”带头讲法制度，党委书记全年讲授法治专题党课4堂，带动领导班子成员开展分管领域法治宣讲6次，形成一级抓一级、层层抓落实的法治建设工作格局。</w:t>
      </w:r>
    </w:p>
    <w:p w14:paraId="10EE9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2" w:name="heading_2"/>
      <w:r>
        <w:rPr>
          <w:rFonts w:hint="eastAsia" w:ascii="楷体" w:hAnsi="楷体" w:eastAsia="楷体" w:cs="楷体"/>
          <w:snapToGrid w:val="0"/>
          <w:kern w:val="0"/>
          <w:sz w:val="32"/>
          <w:szCs w:val="32"/>
          <w:lang w:val="en-US" w:eastAsia="zh-CN" w:bidi="ar-SA"/>
        </w:rPr>
        <w:t>（二）聚焦主责主业，依法规范履行税收职能</w:t>
      </w:r>
      <w:bookmarkEnd w:id="2"/>
    </w:p>
    <w:p w14:paraId="2F696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一是依法规范组织收入。</w:t>
      </w:r>
      <w:r>
        <w:rPr>
          <w:rFonts w:hint="eastAsia" w:ascii="仿宋_GB2312" w:hAnsi="仿宋" w:eastAsia="仿宋_GB2312" w:cs="Times New Roman"/>
          <w:snapToGrid w:val="0"/>
          <w:kern w:val="0"/>
          <w:sz w:val="32"/>
          <w:szCs w:val="32"/>
          <w:lang w:val="en-US" w:eastAsia="zh-CN" w:bidi="ar-SA"/>
        </w:rPr>
        <w:t>严格遵循“应收尽收、应退尽退，坚决不收过头税，坚决防止和制止越权减免税”的组织收入原则，依托税收大数据加强收入形势分析研判，精准开展重点税源监控，全年组织税费收入稳步增长，收入质量持续提升。强化欠税管理，建立“陈欠清理+新欠防控”长效机制，全年清理陈欠税费取得积极成效，新欠发生率控制在较低水平。</w:t>
      </w:r>
    </w:p>
    <w:p w14:paraId="0F5CAC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二是精准落实税费优惠政策。</w:t>
      </w:r>
      <w:r>
        <w:rPr>
          <w:rFonts w:hint="eastAsia" w:ascii="仿宋_GB2312" w:hAnsi="仿宋" w:eastAsia="仿宋_GB2312" w:cs="Times New Roman"/>
          <w:snapToGrid w:val="0"/>
          <w:kern w:val="0"/>
          <w:sz w:val="32"/>
          <w:szCs w:val="32"/>
          <w:lang w:val="en-US" w:eastAsia="zh-CN" w:bidi="ar-SA"/>
        </w:rPr>
        <w:t>紧扣国家减税降费政策部署，构建“政策找人、精准滴灌”服务机制，依托税收大数据自动识别政策适用主体，通过电子税务局、征纳互动平台等渠道精准推送政策信息。建立政策落实全流程跟踪机制，组建专业辅导团队开展“一对一”精准辅导，全年落实减免税费规模显著，有效覆盖研发创新、小微企业等重点领域，切实激发了市场主体活力。</w:t>
      </w:r>
    </w:p>
    <w:p w14:paraId="5AF012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三是持续优化法治化营商环境。</w:t>
      </w:r>
      <w:r>
        <w:rPr>
          <w:rFonts w:hint="eastAsia" w:ascii="仿宋_GB2312" w:hAnsi="仿宋" w:eastAsia="仿宋_GB2312" w:cs="Times New Roman"/>
          <w:snapToGrid w:val="0"/>
          <w:kern w:val="0"/>
          <w:sz w:val="32"/>
          <w:szCs w:val="32"/>
          <w:lang w:val="en-US" w:eastAsia="zh-CN" w:bidi="ar-SA"/>
        </w:rPr>
        <w:t>深入推进“放管服”改革，对办税服务厅进行转型升级改造，建设征纳互动服务中心，全面推行审批服务“马上办、网上办、就近办、一次办”，实现绝大多数涉税事项全程网办，线上办理率达98%。深化“最多跑一次”改革，推出企业开办、注销等主题式集成服务套餐，平均办理时限大幅压缩。建立政企常态化沟通机制，定期召开税企座谈会，广泛收集企业诉求，高效解决涉税难题，纳税人满意度稳步提升。</w:t>
      </w:r>
    </w:p>
    <w:p w14:paraId="59E83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3" w:name="heading_3"/>
      <w:r>
        <w:rPr>
          <w:rFonts w:hint="eastAsia" w:ascii="楷体" w:hAnsi="楷体" w:eastAsia="楷体" w:cs="楷体"/>
          <w:snapToGrid w:val="0"/>
          <w:kern w:val="0"/>
          <w:sz w:val="32"/>
          <w:szCs w:val="32"/>
          <w:lang w:val="en-US" w:eastAsia="zh-CN" w:bidi="ar-SA"/>
        </w:rPr>
        <w:t>（三）完善制度体系，提升依法行政制度质量</w:t>
      </w:r>
      <w:bookmarkEnd w:id="3"/>
    </w:p>
    <w:p w14:paraId="7D156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一是完善规范性文件管理。</w:t>
      </w:r>
      <w:r>
        <w:rPr>
          <w:rFonts w:hint="eastAsia" w:ascii="仿宋_GB2312" w:hAnsi="仿宋" w:eastAsia="仿宋_GB2312" w:cs="Times New Roman"/>
          <w:snapToGrid w:val="0"/>
          <w:kern w:val="0"/>
          <w:sz w:val="32"/>
          <w:szCs w:val="32"/>
          <w:lang w:val="en-US" w:eastAsia="zh-CN" w:bidi="ar-SA"/>
        </w:rPr>
        <w:t>严格落实《税务规范性文件制定管理办法》，按照上级要求，及时同地方政府沟通开展规范性文件合法性审核工作，确保文件内容合法合规。落实规范性文件定期清理制度，对历年制定的规范性文件进行全面清理，全年清理文件1件。</w:t>
      </w:r>
    </w:p>
    <w:p w14:paraId="6C384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二是完善执法制度机制。</w:t>
      </w:r>
      <w:r>
        <w:rPr>
          <w:rFonts w:hint="eastAsia" w:ascii="仿宋_GB2312" w:hAnsi="仿宋" w:eastAsia="仿宋_GB2312" w:cs="Times New Roman"/>
          <w:snapToGrid w:val="0"/>
          <w:kern w:val="0"/>
          <w:sz w:val="32"/>
          <w:szCs w:val="32"/>
          <w:lang w:val="en-US" w:eastAsia="zh-CN" w:bidi="ar-SA"/>
        </w:rPr>
        <w:t>结合我局税收征管实际，细化行政执法操作流程，根据《华北区域税务行政处罚裁量基准》，细化适合本地区常见涉税违法行为的处罚标准和适用情形，确保执法尺度统一。</w:t>
      </w:r>
      <w:r>
        <w:rPr>
          <w:rFonts w:hint="eastAsia" w:ascii="仿宋_GB2312" w:hAnsi="仿宋_GB2312" w:eastAsia="仿宋_GB2312" w:cs="仿宋_GB2312"/>
          <w:sz w:val="32"/>
          <w:szCs w:val="32"/>
          <w:lang w:val="en-US" w:eastAsia="zh-CN"/>
        </w:rPr>
        <w:t>牵头制定局机关、税务所、分局权责清单及税务行政职权运行流程图，权责清单涉及局机关169项、宝昌镇所、永丰镇所121项、二分局119项、一分局108项。</w:t>
      </w:r>
      <w:bookmarkStart w:id="4" w:name="heading_4"/>
    </w:p>
    <w:p w14:paraId="6F6E3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（四）规范决策流程，提升科学民主法治水平</w:t>
      </w:r>
      <w:bookmarkEnd w:id="4"/>
    </w:p>
    <w:p w14:paraId="1A31B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一是严格落实重大决策程序。</w:t>
      </w:r>
      <w:r>
        <w:rPr>
          <w:rFonts w:hint="eastAsia" w:ascii="仿宋_GB2312" w:hAnsi="仿宋" w:eastAsia="仿宋_GB2312" w:cs="Times New Roman"/>
          <w:snapToGrid w:val="0"/>
          <w:kern w:val="0"/>
          <w:sz w:val="32"/>
          <w:szCs w:val="32"/>
          <w:lang w:val="en-US" w:eastAsia="zh-CN" w:bidi="ar-SA"/>
        </w:rPr>
        <w:t>按照盟局及地方政府相关工作要求，将重大税收执法决定法制审核、重大案件审理等事项纳入重大决策的范围，坚持集体讨论，讨论情况和决定情况全程记录，留档保存，全年实施重大税收执法决定法制审核2件。</w:t>
      </w:r>
    </w:p>
    <w:p w14:paraId="5FA505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二是强化决策法治保障。</w:t>
      </w:r>
      <w:r>
        <w:rPr>
          <w:rFonts w:hint="eastAsia" w:ascii="仿宋_GB2312" w:hAnsi="仿宋" w:eastAsia="仿宋_GB2312" w:cs="Times New Roman"/>
          <w:snapToGrid w:val="0"/>
          <w:kern w:val="0"/>
          <w:sz w:val="32"/>
          <w:szCs w:val="32"/>
          <w:lang w:val="en-US" w:eastAsia="zh-CN" w:bidi="ar-SA"/>
        </w:rPr>
        <w:t>严格执行“三重一大”决策制度，各类会议研究决策事项均做到程序规范、决策民主。充分发挥公职律师和法律顾问的参谋助手作用，建立重大决策合法性审查前置机制，为重大行政决策研究事项提供专业法律意见，对重大税收征管措施开展专家论证，有效防范决策法律风险。</w:t>
      </w:r>
    </w:p>
    <w:p w14:paraId="38F89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5" w:name="heading_5"/>
      <w:r>
        <w:rPr>
          <w:rFonts w:hint="eastAsia" w:ascii="楷体" w:hAnsi="楷体" w:eastAsia="楷体" w:cs="楷体"/>
          <w:snapToGrid w:val="0"/>
          <w:kern w:val="0"/>
          <w:sz w:val="32"/>
          <w:szCs w:val="32"/>
          <w:lang w:val="en-US" w:eastAsia="zh-CN" w:bidi="ar-SA"/>
        </w:rPr>
        <w:t>（五）优化执法模式，推进严格规范公正文明执法</w:t>
      </w:r>
      <w:bookmarkEnd w:id="5"/>
    </w:p>
    <w:p w14:paraId="7D45ED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一是全面推行行政执法“三项制度”。</w:t>
      </w:r>
      <w:r>
        <w:rPr>
          <w:rFonts w:hint="eastAsia" w:ascii="仿宋_GB2312" w:hAnsi="仿宋" w:eastAsia="仿宋_GB2312" w:cs="Times New Roman"/>
          <w:snapToGrid w:val="0"/>
          <w:kern w:val="0"/>
          <w:sz w:val="32"/>
          <w:szCs w:val="32"/>
          <w:lang w:val="en-US" w:eastAsia="zh-CN" w:bidi="ar-SA"/>
        </w:rPr>
        <w:t>严格落实行政执法公示制度，通过行政执法公示平台对外公示行政许可、行政处罚等信息，保障纳税人知情权和监督权。规范执法全过程记录，为一线执法人员配备执法记录仪，建立执法音像记录信息管理平台，实现执法行为全程可追溯。强化重大执法决定法制审核，明确审核范围、标准和程序，及时纠正不规范执法问题。加大执法配套设备设施投入，搭建执法全过程记录平台工作室，对各项执法行为进行全过程记录。</w:t>
      </w:r>
    </w:p>
    <w:p w14:paraId="64C925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二是优化执法方式。</w:t>
      </w:r>
      <w:r>
        <w:rPr>
          <w:rFonts w:hint="eastAsia" w:ascii="仿宋_GB2312" w:hAnsi="仿宋" w:eastAsia="仿宋_GB2312" w:cs="Times New Roman"/>
          <w:snapToGrid w:val="0"/>
          <w:kern w:val="0"/>
          <w:sz w:val="32"/>
          <w:szCs w:val="32"/>
          <w:lang w:val="en-US" w:eastAsia="zh-CN" w:bidi="ar-SA"/>
        </w:rPr>
        <w:t>坚持处罚与教育相结合，严格落实“首违不罚”事项清单，对符合条件的纳税人依法适用“首违不罚”，通过柔性执法引导纳税人主动纠正违法行为。联合市场监管等部门开展跨部门联合监管，减少对市场主体的不必要干扰。建立“信用+风险”监管机制，对高信用等级企业减少检查频次，对高风险企业精准实施监管，监管精准度显著提升。</w:t>
      </w:r>
    </w:p>
    <w:p w14:paraId="79913C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三是加强执法队伍建设。</w:t>
      </w:r>
      <w:r>
        <w:rPr>
          <w:rFonts w:hint="eastAsia" w:ascii="仿宋_GB2312" w:hAnsi="仿宋" w:eastAsia="仿宋_GB2312" w:cs="Times New Roman"/>
          <w:snapToGrid w:val="0"/>
          <w:kern w:val="0"/>
          <w:sz w:val="32"/>
          <w:szCs w:val="32"/>
          <w:lang w:val="en-US" w:eastAsia="zh-CN" w:bidi="ar-SA"/>
        </w:rPr>
        <w:t>严格执行行政执法人员持证上岗和资格管理制度，按计划对6名新录用公务员进行执法资格培训，力争全部通过2026年执法资格考试。为今年退休9人、调离1人办理注销执法资格手续。开展执法业务专项培训，重点提升执法人员的法律适用、文书制作等能力，全年税务行政处罚案件未出现行政复议、行政诉讼情况。</w:t>
      </w:r>
    </w:p>
    <w:p w14:paraId="0DB5A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6" w:name="heading_6"/>
      <w:r>
        <w:rPr>
          <w:rFonts w:hint="eastAsia" w:ascii="楷体" w:hAnsi="楷体" w:eastAsia="楷体" w:cs="楷体"/>
          <w:snapToGrid w:val="0"/>
          <w:kern w:val="0"/>
          <w:sz w:val="32"/>
          <w:szCs w:val="32"/>
          <w:lang w:val="en-US" w:eastAsia="zh-CN" w:bidi="ar-SA"/>
        </w:rPr>
        <w:t>（六）强化应急处置，提升依法应对风险能力</w:t>
      </w:r>
      <w:bookmarkEnd w:id="6"/>
    </w:p>
    <w:p w14:paraId="5C3BE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一是完善应急管理机制。</w:t>
      </w:r>
      <w:r>
        <w:rPr>
          <w:rFonts w:hint="eastAsia" w:ascii="仿宋_GB2312" w:hAnsi="仿宋" w:eastAsia="仿宋_GB2312" w:cs="Times New Roman"/>
          <w:snapToGrid w:val="0"/>
          <w:kern w:val="0"/>
          <w:sz w:val="32"/>
          <w:szCs w:val="32"/>
          <w:lang w:val="en-US" w:eastAsia="zh-CN" w:bidi="ar-SA"/>
        </w:rPr>
        <w:t>制定出台《办税服务厅突发事件应急处置预案》，明确突发事件的分级标准、处置流程和责任分工，调整应急处置工作专班，定期开展应急演练，提升应急响应和处置能力。</w:t>
      </w:r>
    </w:p>
    <w:p w14:paraId="065EA7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二是强化应急值守和风险防控。</w:t>
      </w:r>
      <w:r>
        <w:rPr>
          <w:rFonts w:hint="eastAsia" w:ascii="仿宋_GB2312" w:hAnsi="仿宋" w:eastAsia="仿宋_GB2312" w:cs="Times New Roman"/>
          <w:snapToGrid w:val="0"/>
          <w:kern w:val="0"/>
          <w:sz w:val="32"/>
          <w:szCs w:val="32"/>
          <w:lang w:val="en-US" w:eastAsia="zh-CN" w:bidi="ar-SA"/>
        </w:rPr>
        <w:t>严格落实领导带班、常态化值班值守制度，加强涉税舆情监测和处置，建立舆情快速响应机制，及时回应、妥善处置各类涉税舆情，全年未出现造成不良社会影响情况。</w:t>
      </w:r>
    </w:p>
    <w:p w14:paraId="1BB30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7" w:name="heading_7"/>
      <w:r>
        <w:rPr>
          <w:rFonts w:hint="eastAsia" w:ascii="楷体" w:hAnsi="楷体" w:eastAsia="楷体" w:cs="楷体"/>
          <w:snapToGrid w:val="0"/>
          <w:kern w:val="0"/>
          <w:sz w:val="32"/>
          <w:szCs w:val="32"/>
          <w:lang w:val="en-US" w:eastAsia="zh-CN" w:bidi="ar-SA"/>
        </w:rPr>
        <w:t>（七）健全化解机制，促进社会公平正义</w:t>
      </w:r>
      <w:bookmarkEnd w:id="7"/>
    </w:p>
    <w:p w14:paraId="16BED6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一是构建多元纠纷化解机制。</w:t>
      </w:r>
      <w:r>
        <w:rPr>
          <w:rFonts w:hint="eastAsia" w:ascii="仿宋_GB2312" w:hAnsi="仿宋" w:eastAsia="仿宋_GB2312" w:cs="Times New Roman"/>
          <w:snapToGrid w:val="0"/>
          <w:kern w:val="0"/>
          <w:sz w:val="32"/>
          <w:szCs w:val="32"/>
          <w:lang w:val="en-US" w:eastAsia="zh-CN" w:bidi="ar-SA"/>
        </w:rPr>
        <w:t>打造新时代“枫桥式”税务分局，设立税费争议咨询调解室，全年受理涉税争议7件，调解成功率100%。积极融入地方矛盾纠纷多元化解体系，与自然资源局、不动产中心、法院等部门建立协作机制，开展涉税纠纷联合调解，有效推动矛盾纠纷实质性化解，妥善解决太仆寺旗经典国际、万和家园办证难等问题。</w:t>
      </w:r>
    </w:p>
    <w:p w14:paraId="45CF51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二是规范行政复议和应诉工作。</w:t>
      </w:r>
      <w:r>
        <w:rPr>
          <w:rFonts w:hint="eastAsia" w:ascii="仿宋_GB2312" w:hAnsi="仿宋" w:eastAsia="仿宋_GB2312" w:cs="Times New Roman"/>
          <w:snapToGrid w:val="0"/>
          <w:kern w:val="0"/>
          <w:sz w:val="32"/>
          <w:szCs w:val="32"/>
          <w:lang w:val="en-US" w:eastAsia="zh-CN" w:bidi="ar-SA"/>
        </w:rPr>
        <w:t>严格落实行政复议法及其相关法规；培养法律人才，提升复议应诉水平；建立行政应诉案件台账，规范应诉流程，全年无行政诉讼案件发生。</w:t>
      </w:r>
      <w:bookmarkStart w:id="8" w:name="heading_8"/>
    </w:p>
    <w:p w14:paraId="0E0EA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（八）强化监督制约，确保行政权力规范运行</w:t>
      </w:r>
      <w:bookmarkEnd w:id="8"/>
    </w:p>
    <w:p w14:paraId="06ADF2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一是强化内部监督。</w:t>
      </w:r>
      <w:r>
        <w:rPr>
          <w:rFonts w:hint="eastAsia" w:ascii="仿宋_GB2312" w:hAnsi="仿宋" w:eastAsia="仿宋_GB2312" w:cs="Times New Roman"/>
          <w:snapToGrid w:val="0"/>
          <w:kern w:val="0"/>
          <w:sz w:val="32"/>
          <w:szCs w:val="32"/>
          <w:lang w:val="en-US" w:eastAsia="zh-CN" w:bidi="ar-SA"/>
        </w:rPr>
        <w:t>充分发挥内部控制监督平台作用，开展执法过错提醒和风险防控，及时核查应对各类风险疑点，纠正执法过错问题。全年开展风险点扫描72条，人工巡查351条。严格执行税收执法考评与过错责任追究制度，形成有力震慑。开展内部控制自我评估，全面梳理风险事项，完善防控措施，有效防范了廉政风险和执法风险。</w:t>
      </w:r>
    </w:p>
    <w:p w14:paraId="6EBC7B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二是主动接受外部监督。</w:t>
      </w:r>
      <w:r>
        <w:rPr>
          <w:rFonts w:hint="eastAsia" w:ascii="仿宋_GB2312" w:hAnsi="仿宋" w:eastAsia="仿宋_GB2312" w:cs="Times New Roman"/>
          <w:snapToGrid w:val="0"/>
          <w:kern w:val="0"/>
          <w:sz w:val="32"/>
          <w:szCs w:val="32"/>
          <w:lang w:val="en-US" w:eastAsia="zh-CN" w:bidi="ar-SA"/>
        </w:rPr>
        <w:t>坚持“公开为常态、不公开为例外”，通过政府信息公开平台主动公开政务信息，重点公开税费政策、执法流程、权责清单，监督救济渠道等内容。畅通群众监督渠道，公开投诉举报电话、邮箱，设立来信来访接待室，确保群众投诉举报办结率和满意率均达100%。</w:t>
      </w:r>
    </w:p>
    <w:p w14:paraId="49070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9" w:name="heading_9"/>
      <w:r>
        <w:rPr>
          <w:rFonts w:hint="eastAsia" w:ascii="楷体" w:hAnsi="楷体" w:eastAsia="楷体" w:cs="楷体"/>
          <w:snapToGrid w:val="0"/>
          <w:kern w:val="0"/>
          <w:sz w:val="32"/>
          <w:szCs w:val="32"/>
          <w:lang w:val="en-US" w:eastAsia="zh-CN" w:bidi="ar-SA"/>
        </w:rPr>
        <w:t>（九）深化科技赋能，推进数字法治税务建设</w:t>
      </w:r>
      <w:bookmarkEnd w:id="9"/>
    </w:p>
    <w:p w14:paraId="0961E3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一是深化税收大数据应用。</w:t>
      </w:r>
      <w:r>
        <w:rPr>
          <w:rFonts w:hint="eastAsia" w:ascii="仿宋_GB2312" w:hAnsi="仿宋" w:eastAsia="仿宋_GB2312" w:cs="Times New Roman"/>
          <w:snapToGrid w:val="0"/>
          <w:kern w:val="0"/>
          <w:sz w:val="32"/>
          <w:szCs w:val="32"/>
          <w:lang w:val="en-US" w:eastAsia="zh-CN" w:bidi="ar-SA"/>
        </w:rPr>
        <w:t>依托电子税务局、慧办平台等，构建“大数据+法治税务”应用场景，实现税费政策精准推送、涉税风险智能识别、执法行为动态监控。通过大数据精准识别涉税风险企业，开展风险应对取得实效，有效防止国家税收流失风险发生。</w:t>
      </w:r>
    </w:p>
    <w:p w14:paraId="36E3B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二是推进智慧办税缴费。</w:t>
      </w:r>
      <w:r>
        <w:rPr>
          <w:rFonts w:hint="eastAsia" w:ascii="仿宋_GB2312" w:hAnsi="仿宋" w:eastAsia="仿宋_GB2312" w:cs="Times New Roman"/>
          <w:snapToGrid w:val="0"/>
          <w:kern w:val="0"/>
          <w:sz w:val="32"/>
          <w:szCs w:val="32"/>
          <w:lang w:val="en-US" w:eastAsia="zh-CN" w:bidi="ar-SA"/>
        </w:rPr>
        <w:t>构建“前台极简速办、中台智能交互、后台质检分析”的协同服务体系，强化“中台”征纳互动、远程帮办等服务。大力推广“非接触式”办税缴费，建立办问协同一体化机制，实现纳税人端业务办理与税务端政策解答、远程辅导实时交互，为纳税人提供全新服务体验。2025年，太仆寺旗税务局征纳互动服务中心办税咨询承接量达7656件，办理跨区域税费事项69件，涉及跨省互动3件。</w:t>
      </w:r>
    </w:p>
    <w:p w14:paraId="646E0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0" w:name="heading_10"/>
      <w:r>
        <w:rPr>
          <w:rFonts w:hint="eastAsia" w:ascii="楷体" w:hAnsi="楷体" w:eastAsia="楷体" w:cs="楷体"/>
          <w:snapToGrid w:val="0"/>
          <w:kern w:val="0"/>
          <w:sz w:val="32"/>
          <w:szCs w:val="32"/>
          <w:lang w:val="en-US" w:eastAsia="zh-CN" w:bidi="ar-SA"/>
        </w:rPr>
        <w:t>（十）压实党建责任，完善法治建设推进机制</w:t>
      </w:r>
      <w:bookmarkEnd w:id="10"/>
    </w:p>
    <w:p w14:paraId="215210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一是强化党建引领。</w:t>
      </w:r>
      <w:r>
        <w:rPr>
          <w:rFonts w:hint="eastAsia" w:ascii="仿宋_GB2312" w:hAnsi="仿宋" w:eastAsia="仿宋_GB2312" w:cs="Times New Roman"/>
          <w:snapToGrid w:val="0"/>
          <w:kern w:val="0"/>
          <w:sz w:val="32"/>
          <w:szCs w:val="32"/>
          <w:lang w:val="en-US" w:eastAsia="zh-CN" w:bidi="ar-SA"/>
        </w:rPr>
        <w:t>坚持党对法治政府建设的全面领导，将法治建设融入党建工作全过程，通过党建引领推动法治任务落实。开展“法治进支部”试点工作，充分发挥基层党组织在法治建设中的战斗堡垒作用。</w:t>
      </w:r>
    </w:p>
    <w:p w14:paraId="767434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二是健全统筹协调机制。</w:t>
      </w:r>
      <w:r>
        <w:rPr>
          <w:rFonts w:hint="eastAsia" w:ascii="仿宋_GB2312" w:hAnsi="仿宋" w:eastAsia="仿宋_GB2312" w:cs="Times New Roman"/>
          <w:snapToGrid w:val="0"/>
          <w:kern w:val="0"/>
          <w:sz w:val="32"/>
          <w:szCs w:val="32"/>
          <w:lang w:val="en-US" w:eastAsia="zh-CN" w:bidi="ar-SA"/>
        </w:rPr>
        <w:t>充分发挥全面依法行政领导小组的统筹协调作用，加强与地方党委政府司法部门的沟通协作，共同研究部署涉及依法行政工作的重大问题和决策</w:t>
      </w:r>
      <w:bookmarkStart w:id="11" w:name="heading_11"/>
      <w:r>
        <w:rPr>
          <w:rFonts w:hint="eastAsia" w:ascii="仿宋_GB2312" w:hAnsi="仿宋" w:eastAsia="仿宋_GB2312" w:cs="Times New Roman"/>
          <w:snapToGrid w:val="0"/>
          <w:kern w:val="0"/>
          <w:sz w:val="32"/>
          <w:szCs w:val="32"/>
          <w:lang w:val="en-US" w:eastAsia="zh-CN" w:bidi="ar-SA"/>
        </w:rPr>
        <w:t>。</w:t>
      </w:r>
    </w:p>
    <w:p w14:paraId="7B06D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二、2025年法治政府建设中存在的问题及原因分析</w:t>
      </w:r>
      <w:bookmarkEnd w:id="11"/>
    </w:p>
    <w:p w14:paraId="63197002">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 w:hAnsi="楷体" w:eastAsia="楷体" w:cs="楷体"/>
          <w:snapToGrid w:val="0"/>
          <w:kern w:val="0"/>
          <w:sz w:val="32"/>
          <w:szCs w:val="32"/>
          <w:lang w:val="en-US" w:eastAsia="zh-CN" w:bidi="ar-SA"/>
        </w:rPr>
      </w:pPr>
      <w:bookmarkStart w:id="12" w:name="heading_12"/>
      <w:r>
        <w:rPr>
          <w:rFonts w:hint="eastAsia" w:ascii="楷体" w:hAnsi="楷体" w:eastAsia="楷体" w:cs="楷体"/>
          <w:snapToGrid w:val="0"/>
          <w:kern w:val="0"/>
          <w:sz w:val="32"/>
          <w:szCs w:val="32"/>
          <w:lang w:val="en-US" w:eastAsia="zh-CN" w:bidi="ar-SA"/>
        </w:rPr>
        <w:t>（一）存在的主要问题</w:t>
      </w:r>
      <w:bookmarkEnd w:id="12"/>
    </w:p>
    <w:p w14:paraId="0A03E3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一是法制人才储备不足。</w:t>
      </w:r>
      <w:r>
        <w:rPr>
          <w:rFonts w:hint="eastAsia" w:ascii="仿宋_GB2312" w:hAnsi="仿宋" w:eastAsia="仿宋_GB2312" w:cs="Times New Roman"/>
          <w:snapToGrid w:val="0"/>
          <w:kern w:val="0"/>
          <w:sz w:val="32"/>
          <w:szCs w:val="32"/>
          <w:lang w:val="en-US" w:eastAsia="zh-CN" w:bidi="ar-SA"/>
        </w:rPr>
        <w:t>目前我局没有具备法律职业资格和公职律师资格的人员，部分法制工作人员缺乏复杂涉税案件处理经验，应对行政复议、行政诉讼等复杂法律事务的自主处置能力有待提升。</w:t>
      </w:r>
    </w:p>
    <w:p w14:paraId="7F2632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二是干部法治素养不均。</w:t>
      </w:r>
      <w:r>
        <w:rPr>
          <w:rFonts w:hint="eastAsia" w:ascii="仿宋_GB2312" w:hAnsi="仿宋" w:eastAsia="仿宋_GB2312" w:cs="Times New Roman"/>
          <w:snapToGrid w:val="0"/>
          <w:kern w:val="0"/>
          <w:sz w:val="32"/>
          <w:szCs w:val="32"/>
          <w:lang w:val="en-US" w:eastAsia="zh-CN" w:bidi="ar-SA"/>
        </w:rPr>
        <w:t>个别干部法治意识淡薄，对税收法律法规研究不深不透，执法过程中存在文书制作不规范、法律依据适用不准确等问题；部分干部风险防控意识薄弱，对执法全过程记录的规范性重视不足。</w:t>
      </w:r>
    </w:p>
    <w:p w14:paraId="3AB76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三是普法宣传实效不强。</w:t>
      </w:r>
      <w:r>
        <w:rPr>
          <w:rFonts w:hint="eastAsia" w:ascii="仿宋_GB2312" w:hAnsi="仿宋" w:eastAsia="仿宋_GB2312" w:cs="Times New Roman"/>
          <w:snapToGrid w:val="0"/>
          <w:kern w:val="0"/>
          <w:sz w:val="32"/>
          <w:szCs w:val="32"/>
          <w:lang w:val="en-US" w:eastAsia="zh-CN" w:bidi="ar-SA"/>
        </w:rPr>
        <w:t>税法宣传形式较为传统，针对性和吸引力不足，对不同行业、类型纳税人的法治需求对接不精准，难以有效提升纳税人税法遵从度。</w:t>
      </w:r>
    </w:p>
    <w:p w14:paraId="1450C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3" w:name="heading_13"/>
      <w:r>
        <w:rPr>
          <w:rFonts w:hint="eastAsia" w:ascii="楷体" w:hAnsi="楷体" w:eastAsia="楷体" w:cs="楷体"/>
          <w:snapToGrid w:val="0"/>
          <w:kern w:val="0"/>
          <w:sz w:val="32"/>
          <w:szCs w:val="32"/>
          <w:lang w:val="en-US" w:eastAsia="zh-CN" w:bidi="ar-SA"/>
        </w:rPr>
        <w:t>（二）出现问题的原因</w:t>
      </w:r>
      <w:bookmarkEnd w:id="13"/>
    </w:p>
    <w:p w14:paraId="4B3EE7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一是思想认识存在偏差。</w:t>
      </w:r>
      <w:r>
        <w:rPr>
          <w:rFonts w:hint="eastAsia" w:ascii="仿宋_GB2312" w:hAnsi="仿宋" w:eastAsia="仿宋_GB2312" w:cs="Times New Roman"/>
          <w:snapToGrid w:val="0"/>
          <w:kern w:val="0"/>
          <w:sz w:val="32"/>
          <w:szCs w:val="32"/>
          <w:lang w:val="en-US" w:eastAsia="zh-CN" w:bidi="ar-SA"/>
        </w:rPr>
        <w:t>部分干部存在重业务、轻法治倾向，未能深刻认识法治对税收工作的保障作用，对法治人才培养和法治建设投入的重视程度不足。</w:t>
      </w:r>
    </w:p>
    <w:p w14:paraId="40836C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二是培训机制不够完善。</w:t>
      </w:r>
      <w:r>
        <w:rPr>
          <w:rFonts w:hint="eastAsia" w:ascii="仿宋_GB2312" w:hAnsi="仿宋" w:eastAsia="仿宋_GB2312" w:cs="Times New Roman"/>
          <w:snapToGrid w:val="0"/>
          <w:kern w:val="0"/>
          <w:sz w:val="32"/>
          <w:szCs w:val="32"/>
          <w:lang w:val="en-US" w:eastAsia="zh-CN" w:bidi="ar-SA"/>
        </w:rPr>
        <w:t>法治培训内容与执法实践结合不紧密，缺乏案例教学和实战演练，培训方式单一，难以有效提升干部法治实践能力。</w:t>
      </w:r>
    </w:p>
    <w:p w14:paraId="4779E0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三是考核激励不够有力。</w:t>
      </w:r>
      <w:r>
        <w:rPr>
          <w:rFonts w:hint="eastAsia" w:ascii="仿宋_GB2312" w:hAnsi="仿宋" w:eastAsia="仿宋_GB2312" w:cs="Times New Roman"/>
          <w:snapToGrid w:val="0"/>
          <w:kern w:val="0"/>
          <w:sz w:val="32"/>
          <w:szCs w:val="32"/>
          <w:lang w:val="en-US" w:eastAsia="zh-CN" w:bidi="ar-SA"/>
        </w:rPr>
        <w:t>法治建设考核指标不够细化，考核结果与干部评优评先、晋升提拔关联度不高，难以充分调动干部参与法治建设的积极性。</w:t>
      </w:r>
    </w:p>
    <w:p w14:paraId="6D2E1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bookmarkStart w:id="14" w:name="heading_14"/>
      <w:r>
        <w:rPr>
          <w:rFonts w:hint="eastAsia" w:ascii="黑体" w:hAnsi="黑体" w:eastAsia="黑体" w:cs="黑体"/>
          <w:snapToGrid w:val="0"/>
          <w:kern w:val="0"/>
          <w:sz w:val="32"/>
          <w:szCs w:val="32"/>
          <w:lang w:val="en-US" w:eastAsia="zh-CN" w:bidi="ar-SA"/>
        </w:rPr>
        <w:t>三、2026年法治政府建设重点任务及问题改进举措</w:t>
      </w:r>
      <w:bookmarkEnd w:id="14"/>
    </w:p>
    <w:p w14:paraId="3CDD0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2026年，我局将继续全面贯彻执行法治政府建设工作的各项部署安排，聚焦短板弱项精准发力，将改进措施融入年度重点工作，推动法治政府建设再上新台阶，重点推进以下工作：</w:t>
      </w:r>
    </w:p>
    <w:p w14:paraId="12CDE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5" w:name="heading_15"/>
      <w:r>
        <w:rPr>
          <w:rFonts w:hint="eastAsia" w:ascii="楷体" w:hAnsi="楷体" w:eastAsia="楷体" w:cs="楷体"/>
          <w:snapToGrid w:val="0"/>
          <w:kern w:val="0"/>
          <w:sz w:val="32"/>
          <w:szCs w:val="32"/>
          <w:lang w:val="en-US" w:eastAsia="zh-CN" w:bidi="ar-SA"/>
        </w:rPr>
        <w:t>（一）加强党的全面领导，以思想推动法治政府建设</w:t>
      </w:r>
      <w:bookmarkEnd w:id="15"/>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强化理论学习，夯实法治建设根基。通过多种形式深入学习习近平法治思想，强化法治学习氛围，将党的领导贯穿法治税务建设的全过程和各领域，确保税收法治建设正确的政治方向。做好日常法治工作和专项工作，不断夯实法治建设基础。</w:t>
      </w:r>
    </w:p>
    <w:p w14:paraId="70B03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6" w:name="heading_16"/>
      <w:r>
        <w:rPr>
          <w:rFonts w:hint="eastAsia" w:ascii="楷体" w:hAnsi="楷体" w:eastAsia="楷体" w:cs="楷体"/>
          <w:snapToGrid w:val="0"/>
          <w:kern w:val="0"/>
          <w:sz w:val="32"/>
          <w:szCs w:val="32"/>
          <w:lang w:val="en-US" w:eastAsia="zh-CN" w:bidi="ar-SA"/>
        </w:rPr>
        <w:t>（二）加强法治人才队伍建设，提升专业能力</w:t>
      </w:r>
      <w:bookmarkEnd w:id="16"/>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实施法治人才培养计划，建立“公职律师+业务骨干”培养机制，鼓励干部参加法律职业资格考试和公职律师执业申请，邀请外部法律专家开展专题讲座，提升法治工作人员处理复杂法律事务的能力。优化培训内容，强化案例教学和实战演练，提升培训实效性。针对工作人员法治素养不均问题，将税收法律法规纳入常态化培训内容。</w:t>
      </w:r>
    </w:p>
    <w:p w14:paraId="06252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7" w:name="heading_17"/>
      <w:r>
        <w:rPr>
          <w:rFonts w:hint="eastAsia" w:ascii="楷体" w:hAnsi="楷体" w:eastAsia="楷体" w:cs="楷体"/>
          <w:snapToGrid w:val="0"/>
          <w:kern w:val="0"/>
          <w:sz w:val="32"/>
          <w:szCs w:val="32"/>
          <w:lang w:val="en-US" w:eastAsia="zh-CN" w:bidi="ar-SA"/>
        </w:rPr>
        <w:t>（三）规范执法与决策行为，提升依法行政水平</w:t>
      </w:r>
      <w:bookmarkEnd w:id="17"/>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进一步规范重大行政决策程序，加强规范性文件动态清理，健全全流程监管机制，保证制度体系与时俱进。深化行政执法“三项制度”落实，加强执法全过程监督，开展执法文书规范化专项整治，定期抽查执法音像资料，纠正执法不规范问题。严格落实“首违不罚”政策，提升执法精准度与温度。</w:t>
      </w:r>
      <w:bookmarkStart w:id="18" w:name="heading_18"/>
    </w:p>
    <w:p w14:paraId="5203F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（四）优化法治营商环境，增强服务效能</w:t>
      </w:r>
      <w:bookmarkEnd w:id="18"/>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持续深化“放管服”改革，优化中后台涉税审批服务流程，扩大全程网办事项范围，提升政务服务效能。完善“政策找人、精准滴灌”机制，依托税收大数据精准推送税费优惠政策，组织局内各股室业务骨干成立专业团队开展定制化辅导，确保政策红利直达快享。建立政企常态化走访与沟通机制，定期召开税企座谈会，及时收集并解决企业涉税诉求，提升纳税人满意度。</w:t>
      </w:r>
    </w:p>
    <w:p w14:paraId="39795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9" w:name="heading_20"/>
      <w:r>
        <w:rPr>
          <w:rFonts w:hint="eastAsia" w:ascii="楷体" w:hAnsi="楷体" w:eastAsia="楷体" w:cs="楷体"/>
          <w:snapToGrid w:val="0"/>
          <w:kern w:val="0"/>
          <w:sz w:val="32"/>
          <w:szCs w:val="32"/>
          <w:lang w:val="en-US" w:eastAsia="zh-CN" w:bidi="ar-SA"/>
        </w:rPr>
        <w:t>（五）强化监督制约与考核激励，规范权力运行</w:t>
      </w:r>
      <w:bookmarkEnd w:id="19"/>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充分发挥内部控制监督平台作用，加强执法过错提醒和风险防控，严格执行税收执法考评与过错责任追究制度。坚持政务公开常态化，主动接受人大、政协、群众和舆论监督。针对考核激励不够有力的问题，细化法治建设考核指标，将考核结果与干部评优评先、晋升提拔紧密关联，充分调动干部参与法治建设的积极性与主动性。</w:t>
      </w:r>
    </w:p>
    <w:bookmarkEnd w:id="20"/>
    <w:p w14:paraId="2C70C356">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 w:eastAsia="仿宋_GB2312" w:cs="Times New Roman"/>
          <w:snapToGrid w:val="0"/>
          <w:kern w:val="0"/>
          <w:sz w:val="32"/>
          <w:szCs w:val="32"/>
          <w:lang w:val="en-US" w:eastAsia="zh-CN" w:bidi="ar-SA"/>
        </w:rPr>
      </w:pPr>
    </w:p>
    <w:p w14:paraId="1B62B0A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国家税务总局太仆寺旗税务局</w:t>
      </w:r>
    </w:p>
    <w:p w14:paraId="5009765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 xml:space="preserve">                           2026年1月15日</w:t>
      </w:r>
    </w:p>
    <w:sectPr>
      <w:footerReference r:id="rId3" w:type="default"/>
      <w:pgSz w:w="11905" w:h="16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2010600030101010101"/>
    <w:charset w:val="81"/>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2A3E">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-69215</wp:posOffset>
              </wp:positionV>
              <wp:extent cx="828675" cy="2101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8675" cy="210185"/>
                      </a:xfrm>
                      <a:prstGeom prst="rect">
                        <a:avLst/>
                      </a:prstGeom>
                      <a:noFill/>
                      <a:ln w="9525">
                        <a:noFill/>
                      </a:ln>
                    </wps:spPr>
                    <wps:txbx>
                      <w:txbxContent>
                        <w:p w14:paraId="03C56FF9">
                          <w:pPr>
                            <w:pStyle w:val="3"/>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top:-5.45pt;height:16.55pt;width:65.25pt;mso-position-horizontal:outside;mso-position-horizontal-relative:margin;z-index:251659264;mso-width-relative:page;mso-height-relative:page;" filled="f" stroked="f" coordsize="21600,21600" o:gfxdata="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WJ&#10;T37WAAAABwEAAA8AAAAAAAAAAQAgAAAAIgAAAGRycy9kb3ducmV2LnhtbFBLAQIUABQAAAAIAIdO&#10;4kAwTd6g7AEAAMcDAAAOAAAAAAAAAAEAIAAAACUBAABkcnMvZTJvRG9jLnhtbFBLBQYAAAAABgAG&#10;AFkBAACDBQAAAAA=&#10;">
              <v:fill on="f" focussize="0,0"/>
              <v:stroke on="f"/>
              <v:imagedata o:title=""/>
              <o:lock v:ext="edit" aspectratio="f"/>
              <v:textbox inset="0mm,0mm,0mm,0mm">
                <w:txbxContent>
                  <w:p w14:paraId="03C56FF9">
                    <w:pPr>
                      <w:pStyle w:val="3"/>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0FD1"/>
    <w:rsid w:val="0A951694"/>
    <w:rsid w:val="15244D18"/>
    <w:rsid w:val="16B426BF"/>
    <w:rsid w:val="1F432BDC"/>
    <w:rsid w:val="25F20913"/>
    <w:rsid w:val="274E2BE6"/>
    <w:rsid w:val="332C0E01"/>
    <w:rsid w:val="379F0986"/>
    <w:rsid w:val="383E5D1C"/>
    <w:rsid w:val="3BC431E4"/>
    <w:rsid w:val="4AC10673"/>
    <w:rsid w:val="4E2A7D75"/>
    <w:rsid w:val="57FB361D"/>
    <w:rsid w:val="5A7942EB"/>
    <w:rsid w:val="5BEA694F"/>
    <w:rsid w:val="5E6858EF"/>
    <w:rsid w:val="61087D11"/>
    <w:rsid w:val="708A49F8"/>
    <w:rsid w:val="70D82D43"/>
    <w:rsid w:val="711023F5"/>
    <w:rsid w:val="71A840E6"/>
    <w:rsid w:val="792D546B"/>
    <w:rsid w:val="BFEF492E"/>
    <w:rsid w:val="E7976C9E"/>
    <w:rsid w:val="EFC92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atLeast"/>
    </w:pPr>
    <w:rPr>
      <w:rFonts w:ascii="仿宋_GB2312" w:eastAsia="仿宋_GB2312"/>
      <w:spacing w:val="-8"/>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4882</Words>
  <Characters>4947</Characters>
  <TotalTime>169</TotalTime>
  <ScaleCrop>false</ScaleCrop>
  <LinksUpToDate>false</LinksUpToDate>
  <CharactersWithSpaces>4974</CharactersWithSpaces>
  <Application>WPS Office_12.1.2.24720_F1E327BC-269C-435d-A152-05C5408002CA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2026-01-09T10:51:00Z</dcterms:created>
  <dc:creator>Apache POI</dc:creator>
  <cp:lastModifiedBy>user</cp:lastModifiedBy>
  <cp:lastPrinted>2026-01-13T11:46:00Z</cp:lastPrinted>
  <dcterms:modified xsi:type="dcterms:W3CDTF">2026-06-16T16:15:52Z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eyJoZGlkIjoiMDRmMTE4YTY0ZTZiNTU5YTU2MTkwMTZlZjVjYTk1ZjMiLCJ1c2VySWQiOiI1NDUwODUxNjAifQ==</vt:lpwstr>
  </property>
  <property fmtid="{D5CDD505-2E9C-101B-9397-08002B2CF9AE}" pid="3" name="KSOProductBuildVer">
    <vt:lpwstr>2052-12.1.2.24720</vt:lpwstr>
  </property>
  <property fmtid="{D5CDD505-2E9C-101B-9397-08002B2CF9AE}" pid="4" name="ICV">
    <vt:lpwstr>DB28CBC059C0FE293806316AB2103D55_43</vt:lpwstr>
  </property>
</Properties>
</file>