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59D4B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国家税务总局阿巴嘎旗税务局</w:t>
      </w:r>
    </w:p>
    <w:p w14:paraId="12464E7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年度法治政府建设情况报告</w:t>
      </w:r>
    </w:p>
    <w:p w14:paraId="64A062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764B35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lang w:eastAsia="zh-CN"/>
        </w:rPr>
        <w:t>按照中共中央、国务院印发的《法治政府建设实施纲要（</w:t>
      </w:r>
      <w:r>
        <w:rPr>
          <w:rFonts w:hint="eastAsia" w:ascii="仿宋_GB2312" w:hAnsi="仿宋_GB2312" w:eastAsia="仿宋_GB2312" w:cs="仿宋_GB2312"/>
          <w:sz w:val="32"/>
          <w:szCs w:val="32"/>
          <w:highlight w:val="none"/>
          <w:lang w:val="en-US" w:eastAsia="zh-CN"/>
        </w:rPr>
        <w:t>2021年-2025年</w:t>
      </w:r>
      <w:r>
        <w:rPr>
          <w:rFonts w:hint="eastAsia" w:ascii="仿宋_GB2312" w:hAnsi="仿宋_GB2312" w:eastAsia="仿宋_GB2312" w:cs="仿宋_GB2312"/>
          <w:sz w:val="32"/>
          <w:szCs w:val="32"/>
          <w:highlight w:val="none"/>
          <w:lang w:eastAsia="zh-CN"/>
        </w:rPr>
        <w:t>）》文件要求，</w:t>
      </w:r>
      <w:r>
        <w:rPr>
          <w:rFonts w:hint="eastAsia" w:ascii="仿宋_GB2312" w:hAnsi="仿宋_GB2312" w:eastAsia="仿宋_GB2312" w:cs="仿宋_GB2312"/>
          <w:sz w:val="32"/>
          <w:szCs w:val="32"/>
          <w:highlight w:val="none"/>
        </w:rPr>
        <w:t>阿巴嘎旗税务局</w:t>
      </w:r>
      <w:r>
        <w:rPr>
          <w:rFonts w:hint="eastAsia" w:ascii="仿宋_GB2312" w:hAnsi="仿宋_GB2312" w:eastAsia="仿宋_GB2312" w:cs="仿宋_GB2312"/>
          <w:sz w:val="32"/>
          <w:szCs w:val="32"/>
          <w:highlight w:val="none"/>
          <w:lang w:eastAsia="zh-CN"/>
        </w:rPr>
        <w:t>在盟税务局和旗政府的正确领导下，</w:t>
      </w:r>
      <w:r>
        <w:rPr>
          <w:rFonts w:hint="eastAsia" w:ascii="仿宋_GB2312" w:hAnsi="仿宋_GB2312" w:eastAsia="仿宋_GB2312" w:cs="仿宋_GB2312"/>
          <w:sz w:val="32"/>
          <w:szCs w:val="32"/>
          <w:highlight w:val="none"/>
        </w:rPr>
        <w:t>坚持以习近平</w:t>
      </w:r>
      <w:r>
        <w:rPr>
          <w:rFonts w:hint="eastAsia" w:ascii="仿宋_GB2312" w:hAnsi="仿宋_GB2312" w:eastAsia="仿宋_GB2312" w:cs="仿宋_GB2312"/>
          <w:sz w:val="32"/>
          <w:szCs w:val="32"/>
          <w:highlight w:val="none"/>
          <w:lang w:eastAsia="zh-CN"/>
        </w:rPr>
        <w:t>法治思想</w:t>
      </w:r>
      <w:r>
        <w:rPr>
          <w:rFonts w:hint="eastAsia" w:ascii="仿宋_GB2312" w:hAnsi="仿宋_GB2312" w:eastAsia="仿宋_GB2312" w:cs="仿宋_GB2312"/>
          <w:sz w:val="32"/>
          <w:szCs w:val="32"/>
          <w:highlight w:val="none"/>
        </w:rPr>
        <w:t>为指导，</w:t>
      </w:r>
      <w:r>
        <w:rPr>
          <w:rFonts w:hint="eastAsia" w:ascii="仿宋_GB2312" w:hAnsi="仿宋_GB2312" w:eastAsia="仿宋_GB2312" w:cs="仿宋_GB2312"/>
          <w:sz w:val="32"/>
          <w:szCs w:val="32"/>
          <w:highlight w:val="none"/>
          <w:lang w:eastAsia="zh-CN"/>
        </w:rPr>
        <w:t>紧紧围绕税收中心工作，以加强征收管理、提高执法效能、规范执法行为为目标，大力推进依法治税，确保税收法治建设工作有效落实。</w:t>
      </w:r>
      <w:r>
        <w:rPr>
          <w:rFonts w:hint="eastAsia" w:ascii="仿宋_GB2312" w:hAnsi="仿宋_GB2312" w:eastAsia="仿宋_GB2312" w:cs="仿宋_GB2312"/>
          <w:sz w:val="32"/>
          <w:szCs w:val="32"/>
          <w:highlight w:val="none"/>
        </w:rPr>
        <w:t>现将我</w:t>
      </w:r>
      <w:r>
        <w:rPr>
          <w:rFonts w:hint="eastAsia" w:ascii="仿宋_GB2312" w:hAnsi="仿宋_GB2312" w:eastAsia="仿宋_GB2312" w:cs="仿宋_GB2312"/>
          <w:sz w:val="32"/>
          <w:szCs w:val="32"/>
        </w:rPr>
        <w:t>局202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年度法治政府建设情况汇报如下:</w:t>
      </w:r>
    </w:p>
    <w:p w14:paraId="785FE8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一、202</w:t>
      </w:r>
      <w:r>
        <w:rPr>
          <w:rFonts w:hint="eastAsia" w:ascii="黑体" w:hAnsi="黑体" w:eastAsia="黑体" w:cs="黑体"/>
          <w:sz w:val="32"/>
          <w:szCs w:val="32"/>
          <w:lang w:val="en-US" w:eastAsia="zh-CN"/>
        </w:rPr>
        <w:t>5</w:t>
      </w:r>
      <w:bookmarkStart w:id="0" w:name="_GoBack"/>
      <w:bookmarkEnd w:id="0"/>
      <w:r>
        <w:rPr>
          <w:rFonts w:hint="eastAsia" w:ascii="黑体" w:hAnsi="黑体" w:eastAsia="黑体" w:cs="黑体"/>
          <w:sz w:val="32"/>
          <w:szCs w:val="32"/>
        </w:rPr>
        <w:t>年法治税务建设情况</w:t>
      </w:r>
    </w:p>
    <w:p w14:paraId="63B487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（一）深入学习贯彻习近平法治思想，夯实依法治税思想根基</w:t>
      </w:r>
    </w:p>
    <w:p w14:paraId="4CEDCB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我局党委</w:t>
      </w:r>
      <w:r>
        <w:rPr>
          <w:rFonts w:hint="eastAsia" w:ascii="仿宋_GB2312" w:hAnsi="仿宋_GB2312" w:eastAsia="仿宋_GB2312" w:cs="仿宋_GB2312"/>
          <w:sz w:val="32"/>
          <w:szCs w:val="32"/>
          <w:highlight w:val="none"/>
          <w:lang w:eastAsia="zh-CN"/>
        </w:rPr>
        <w:t>带头深入学习贯彻党的二十大和二十届三中、四中全会精神，坚持认真学习领会习近平法治思想和习近平总书记关于法治建设的重要指示精神，并以上率下领学促学，将习近平法治思想纳入党委理论学习中心组集体学习内容，形成领导“带头学”、支部“定期学”、干部“常态学”的学习机制。党委班子充分发挥示范带头作用，通过党委理论学习中心组、局务会、全面依法行政工作领导小组会等学习途径，定期组织集体学习、集中研讨，高标准落实“第一议题”及领导干部会前学法制度，带动全体税务干部提高政治站位。同时，开展普法宣传解读，通过税收宣传月、国家安全日、宪法宣传周等活动积极开展法治宣传，推进习近平思想入脑入心，指导实践，推动工作。</w:t>
      </w:r>
    </w:p>
    <w:p w14:paraId="7C3AC6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（二）健全政府机构职能体系，依法全面履行税收工作职能</w:t>
      </w:r>
    </w:p>
    <w:p w14:paraId="26BC924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1.依法依规组织税收收入</w:t>
      </w:r>
    </w:p>
    <w:p w14:paraId="7957A2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聚焦主责主业，坚持组织收入原则，做到依法征税。严格履行征管职责，充分依托税收大数据，深入开展经济税源分析，加强对重点行业、重点企业及重点项目税源变化管理，提高税收预测精准度，强化日常征收管理，始终做到应收尽收、应减尽减、应免尽免、应退尽退，不断夯实组织收入基础，保证组织收入依法征收。</w:t>
      </w:r>
    </w:p>
    <w:p w14:paraId="2ABC90E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highlight w:val="none"/>
        </w:rPr>
        <w:t>2.</w:t>
      </w:r>
      <w:r>
        <w:rPr>
          <w:rFonts w:hint="eastAsia" w:ascii="仿宋_GB2312" w:hAnsi="仿宋_GB2312" w:eastAsia="仿宋_GB2312" w:cs="仿宋_GB2312"/>
          <w:b/>
          <w:bCs/>
          <w:sz w:val="32"/>
          <w:szCs w:val="32"/>
          <w:highlight w:val="none"/>
          <w:lang w:eastAsia="zh-CN"/>
        </w:rPr>
        <w:t>抓强收入和政策联席会工作机制</w:t>
      </w:r>
    </w:p>
    <w:p w14:paraId="07A8219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highlight w:val="none"/>
          <w:lang w:val="en-US" w:eastAsia="zh-CN"/>
        </w:rPr>
      </w:pPr>
      <w:r>
        <w:rPr>
          <w:rFonts w:hint="eastAsia" w:ascii="仿宋_GB2312" w:hAnsi="仿宋_GB2312" w:eastAsia="仿宋_GB2312" w:cs="仿宋_GB2312"/>
          <w:sz w:val="32"/>
          <w:szCs w:val="32"/>
          <w:lang w:val="en-US" w:eastAsia="zh-CN"/>
        </w:rPr>
        <w:t>为更好</w:t>
      </w:r>
      <w:r>
        <w:rPr>
          <w:rFonts w:hint="eastAsia" w:ascii="仿宋_GB2312" w:hAnsi="仿宋_GB2312" w:eastAsia="仿宋_GB2312" w:cs="仿宋_GB2312"/>
          <w:sz w:val="32"/>
          <w:szCs w:val="32"/>
        </w:rPr>
        <w:t>立足</w:t>
      </w:r>
      <w:r>
        <w:rPr>
          <w:rFonts w:hint="eastAsia" w:ascii="仿宋_GB2312" w:hAnsi="仿宋_GB2312" w:eastAsia="仿宋_GB2312" w:cs="仿宋_GB2312"/>
          <w:sz w:val="32"/>
          <w:szCs w:val="32"/>
          <w:lang w:eastAsia="zh-CN"/>
        </w:rPr>
        <w:t>税务</w:t>
      </w:r>
      <w:r>
        <w:rPr>
          <w:rFonts w:hint="eastAsia" w:ascii="仿宋_GB2312" w:hAnsi="仿宋_GB2312" w:eastAsia="仿宋_GB2312" w:cs="仿宋_GB2312"/>
          <w:sz w:val="32"/>
          <w:szCs w:val="32"/>
        </w:rPr>
        <w:t>实际、强化税费征收和政策落实管理，</w:t>
      </w:r>
      <w:r>
        <w:rPr>
          <w:rFonts w:hint="eastAsia" w:ascii="仿宋_GB2312" w:eastAsia="仿宋_GB2312"/>
          <w:sz w:val="32"/>
          <w:szCs w:val="32"/>
          <w:highlight w:val="none"/>
        </w:rPr>
        <w:t>建立“政策和收入联席会议”机制</w:t>
      </w:r>
      <w:r>
        <w:rPr>
          <w:rFonts w:hint="eastAsia" w:ascii="仿宋_GB2312" w:eastAsia="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充分发挥各部门职能作用，</w:t>
      </w:r>
      <w:r>
        <w:rPr>
          <w:rFonts w:hint="eastAsia" w:ascii="仿宋_GB2312" w:eastAsia="仿宋_GB2312"/>
          <w:sz w:val="32"/>
          <w:szCs w:val="32"/>
          <w:highlight w:val="none"/>
          <w:lang w:eastAsia="zh-CN"/>
        </w:rPr>
        <w:t>加强政策学习</w:t>
      </w:r>
      <w:r>
        <w:rPr>
          <w:rFonts w:hint="eastAsia" w:ascii="仿宋_GB2312" w:eastAsia="仿宋_GB2312"/>
          <w:sz w:val="32"/>
          <w:szCs w:val="32"/>
          <w:highlight w:val="none"/>
        </w:rPr>
        <w:t>，</w:t>
      </w:r>
      <w:r>
        <w:rPr>
          <w:rFonts w:hint="eastAsia" w:ascii="仿宋_GB2312" w:eastAsia="仿宋_GB2312"/>
          <w:sz w:val="32"/>
          <w:szCs w:val="32"/>
        </w:rPr>
        <w:t>落实</w:t>
      </w:r>
      <w:r>
        <w:rPr>
          <w:rFonts w:hint="eastAsia" w:ascii="仿宋_GB2312" w:eastAsia="仿宋_GB2312"/>
          <w:sz w:val="32"/>
          <w:szCs w:val="32"/>
          <w:lang w:eastAsia="zh-CN"/>
        </w:rPr>
        <w:t>落细</w:t>
      </w:r>
      <w:r>
        <w:rPr>
          <w:rFonts w:hint="eastAsia" w:ascii="仿宋_GB2312" w:eastAsia="仿宋_GB2312"/>
          <w:sz w:val="32"/>
          <w:szCs w:val="32"/>
        </w:rPr>
        <w:t>税费优惠政策，</w:t>
      </w:r>
      <w:r>
        <w:rPr>
          <w:rFonts w:hint="eastAsia" w:ascii="仿宋_GB2312" w:eastAsia="仿宋_GB2312"/>
          <w:sz w:val="32"/>
          <w:szCs w:val="32"/>
          <w:highlight w:val="none"/>
        </w:rPr>
        <w:t>规范税收政策执行</w:t>
      </w:r>
      <w:r>
        <w:rPr>
          <w:rFonts w:hint="eastAsia" w:ascii="仿宋_GB2312" w:eastAsia="仿宋_GB2312"/>
          <w:sz w:val="32"/>
          <w:szCs w:val="32"/>
          <w:highlight w:val="none"/>
          <w:lang w:eastAsia="zh-CN"/>
        </w:rPr>
        <w:t>口径，</w:t>
      </w:r>
      <w:r>
        <w:rPr>
          <w:rFonts w:hint="eastAsia" w:ascii="仿宋_GB2312" w:eastAsia="仿宋_GB2312"/>
          <w:sz w:val="32"/>
          <w:szCs w:val="32"/>
        </w:rPr>
        <w:t>防范错享骗享风险</w:t>
      </w:r>
      <w:r>
        <w:rPr>
          <w:rFonts w:hint="eastAsia" w:ascii="仿宋_GB2312" w:eastAsia="仿宋_GB2312"/>
          <w:sz w:val="32"/>
          <w:szCs w:val="32"/>
          <w:lang w:eastAsia="zh-CN"/>
        </w:rPr>
        <w:t>，</w:t>
      </w:r>
      <w:r>
        <w:rPr>
          <w:rFonts w:hint="eastAsia" w:ascii="仿宋_GB2312" w:eastAsia="仿宋_GB2312"/>
          <w:sz w:val="32"/>
          <w:szCs w:val="32"/>
          <w:highlight w:val="none"/>
          <w:lang w:eastAsia="zh-CN"/>
        </w:rPr>
        <w:t>推进强基工程，不断优化税收营商环境，</w:t>
      </w:r>
      <w:r>
        <w:rPr>
          <w:rFonts w:hint="eastAsia" w:ascii="仿宋_GB2312" w:hAnsi="仿宋_GB2312" w:eastAsia="仿宋_GB2312" w:cs="仿宋_GB2312"/>
          <w:sz w:val="32"/>
          <w:szCs w:val="32"/>
          <w:highlight w:val="none"/>
          <w:lang w:val="en-US" w:eastAsia="zh-CN"/>
        </w:rPr>
        <w:t>推动组织税费收入工作提质增效</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2025年我局通过收入和政策联席会议工作机制，共上报信息简报2篇。同时</w:t>
      </w:r>
      <w:r>
        <w:rPr>
          <w:rFonts w:hint="eastAsia" w:ascii="仿宋_GB2312" w:hAnsi="仿宋_GB2312" w:eastAsia="仿宋_GB2312" w:cs="仿宋_GB2312"/>
          <w:sz w:val="32"/>
          <w:szCs w:val="32"/>
          <w:highlight w:val="none"/>
          <w:lang w:eastAsia="zh-CN"/>
        </w:rPr>
        <w:t>依托</w:t>
      </w:r>
      <w:r>
        <w:rPr>
          <w:rFonts w:hint="eastAsia" w:ascii="仿宋_GB2312" w:hAnsi="仿宋_GB2312" w:eastAsia="仿宋_GB2312" w:cs="仿宋_GB2312"/>
          <w:sz w:val="32"/>
          <w:szCs w:val="32"/>
          <w:highlight w:val="none"/>
        </w:rPr>
        <w:t>问题快反机制、税源直联点等渠道广泛收集政策规定不明确、执行难</w:t>
      </w:r>
      <w:r>
        <w:rPr>
          <w:rFonts w:hint="eastAsia" w:ascii="仿宋_GB2312" w:hAnsi="仿宋_GB2312" w:eastAsia="仿宋_GB2312" w:cs="仿宋_GB2312"/>
          <w:sz w:val="32"/>
          <w:szCs w:val="32"/>
          <w:highlight w:val="none"/>
          <w:lang w:eastAsia="zh-CN"/>
        </w:rPr>
        <w:t>等</w:t>
      </w:r>
      <w:r>
        <w:rPr>
          <w:rFonts w:hint="eastAsia" w:ascii="仿宋_GB2312" w:hAnsi="仿宋_GB2312" w:eastAsia="仿宋_GB2312" w:cs="仿宋_GB2312"/>
          <w:sz w:val="32"/>
          <w:szCs w:val="32"/>
          <w:highlight w:val="none"/>
        </w:rPr>
        <w:t>相关问题，提出完善政策的意见建议</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2025年我局共上报问题及意见建议3次</w:t>
      </w:r>
      <w:r>
        <w:rPr>
          <w:rFonts w:hint="eastAsia" w:ascii="仿宋_GB2312" w:hAnsi="仿宋_GB2312" w:eastAsia="仿宋_GB2312" w:cs="仿宋_GB2312"/>
          <w:sz w:val="32"/>
          <w:szCs w:val="32"/>
          <w:highlight w:val="none"/>
        </w:rPr>
        <w:t>。</w:t>
      </w:r>
    </w:p>
    <w:p w14:paraId="47A43FC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rPr>
        <w:t>3</w:t>
      </w:r>
      <w:r>
        <w:rPr>
          <w:rFonts w:hint="eastAsia" w:ascii="仿宋_GB2312" w:hAnsi="仿宋_GB2312" w:eastAsia="仿宋_GB2312" w:cs="仿宋_GB2312"/>
          <w:b/>
          <w:bCs/>
          <w:sz w:val="32"/>
          <w:szCs w:val="32"/>
          <w:highlight w:val="none"/>
          <w:lang w:eastAsia="zh-CN"/>
        </w:rPr>
        <w:t>.持续优化</w:t>
      </w:r>
      <w:r>
        <w:rPr>
          <w:rFonts w:hint="eastAsia" w:ascii="仿宋_GB2312" w:hAnsi="仿宋_GB2312" w:eastAsia="仿宋_GB2312" w:cs="仿宋_GB2312"/>
          <w:b/>
          <w:bCs/>
          <w:sz w:val="32"/>
          <w:szCs w:val="32"/>
          <w:highlight w:val="none"/>
        </w:rPr>
        <w:t>营商环境</w:t>
      </w:r>
    </w:p>
    <w:p w14:paraId="73A32D8B">
      <w:pPr>
        <w:pStyle w:val="2"/>
        <w:keepNext w:val="0"/>
        <w:keepLines w:val="0"/>
        <w:pageBreakBefore w:val="0"/>
        <w:numPr>
          <w:ilvl w:val="0"/>
          <w:numId w:val="0"/>
        </w:numPr>
        <w:kinsoku/>
        <w:wordWrap/>
        <w:overflowPunct/>
        <w:topLinePunct w:val="0"/>
        <w:autoSpaceDE/>
        <w:autoSpaceDN/>
        <w:bidi w:val="0"/>
        <w:spacing w:after="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lang w:val="en-US" w:eastAsia="zh-CN"/>
        </w:rPr>
        <w:t>依托电子税务局、税务APP，拓展“非接触式”办税，已实现代开增值税电子普通发票、工商登记信息确认、变更税务登记等高频事项全程网办，真正实现纳税人足不出户即可办理涉税事项。</w:t>
      </w:r>
      <w:r>
        <w:rPr>
          <w:rFonts w:hint="eastAsia" w:ascii="仿宋_GB2312" w:hAnsi="仿宋_GB2312" w:eastAsia="仿宋_GB2312" w:cs="仿宋_GB2312"/>
          <w:b w:val="0"/>
          <w:bCs w:val="0"/>
          <w:color w:val="auto"/>
          <w:sz w:val="32"/>
          <w:szCs w:val="32"/>
          <w:highlight w:val="none"/>
          <w:lang w:val="en-US" w:eastAsia="zh-CN"/>
        </w:rPr>
        <w:t>针对线下受理的业务，设立自助办税区，安排专人对办税人员进行操作指导，有效减轻排队压力；</w:t>
      </w:r>
      <w:r>
        <w:rPr>
          <w:rFonts w:hint="eastAsia" w:ascii="仿宋_GB2312" w:hAnsi="仿宋_GB2312" w:eastAsia="仿宋_GB2312" w:cs="仿宋_GB2312"/>
          <w:color w:val="auto"/>
          <w:sz w:val="32"/>
          <w:szCs w:val="32"/>
          <w:highlight w:val="none"/>
          <w:lang w:val="en-US" w:eastAsia="zh-CN"/>
        </w:rPr>
        <w:t>对于高频次、低风险、易办理服务事项，我局将平均办理时长压缩在1-2分钟，极大提升了纳税人缴费人的办税体验。优化自助办税终端布局，探索利用集成式自助终端提供“24小时不打烊”服务，根据纳税人意见建议定期优化服务制度，使纳税人越办越顺心。推动政策落实工作机制，利用征纳互动平台精准推送政策22条、税</w:t>
      </w:r>
      <w:r>
        <w:rPr>
          <w:rFonts w:hint="eastAsia" w:ascii="仿宋_GB2312" w:hAnsi="仿宋_GB2312" w:eastAsia="仿宋_GB2312" w:cs="仿宋_GB2312"/>
          <w:color w:val="auto"/>
          <w:sz w:val="32"/>
          <w:szCs w:val="32"/>
          <w:highlight w:val="none"/>
          <w:vertAlign w:val="baseline"/>
          <w:lang w:val="en-US" w:eastAsia="zh-CN"/>
        </w:rPr>
        <w:t>企微信群推送政策图解40条、</w:t>
      </w:r>
      <w:r>
        <w:rPr>
          <w:rFonts w:hint="eastAsia" w:ascii="仿宋_GB2312" w:hAnsi="仿宋_GB2312" w:eastAsia="仿宋_GB2312" w:cs="仿宋_GB2312"/>
          <w:color w:val="auto"/>
          <w:sz w:val="32"/>
          <w:szCs w:val="32"/>
          <w:highlight w:val="none"/>
          <w:lang w:val="en-US" w:eastAsia="zh-CN"/>
        </w:rPr>
        <w:t>制作本地区的纳税辅导宣传资料“阿旗税讯”55期。依托税宣月、春雨润苗专项行动等对各类企业开展政策宣传辅导，共开展宣传辅导活动11次，惠及9家企业50余人。</w:t>
      </w:r>
      <w:r>
        <w:rPr>
          <w:rFonts w:hint="eastAsia" w:ascii="仿宋_GB2312" w:hAnsi="仿宋_GB2312" w:eastAsia="仿宋_GB2312" w:cs="仿宋_GB2312"/>
          <w:sz w:val="32"/>
          <w:szCs w:val="32"/>
        </w:rPr>
        <w:t xml:space="preserve">                    </w:t>
      </w:r>
    </w:p>
    <w:p w14:paraId="00227A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（三）健全依法行政制度体系，不断提高税收制度建设质量</w:t>
      </w:r>
    </w:p>
    <w:p w14:paraId="6B51C9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none"/>
        </w:rPr>
        <w:t>严格按照《税收规范性文件制定管理办法》</w:t>
      </w:r>
      <w:r>
        <w:rPr>
          <w:rFonts w:hint="eastAsia" w:ascii="仿宋_GB2312" w:hAnsi="仿宋_GB2312" w:eastAsia="仿宋_GB2312" w:cs="仿宋_GB2312"/>
          <w:sz w:val="32"/>
          <w:szCs w:val="32"/>
          <w:highlight w:val="none"/>
          <w:lang w:eastAsia="zh-CN"/>
        </w:rPr>
        <w:t>所规定的制定权限、备案制度、清理制度等进行税收规范性文件管理，严格执行规范性文件合法性审查制度，建立规范性文件清理长效机制。</w:t>
      </w:r>
      <w:r>
        <w:rPr>
          <w:rFonts w:hint="eastAsia" w:ascii="仿宋_GB2312" w:hAnsi="仿宋_GB2312" w:eastAsia="仿宋_GB2312" w:cs="仿宋_GB2312"/>
          <w:sz w:val="32"/>
          <w:szCs w:val="32"/>
          <w:highlight w:val="none"/>
          <w:lang w:val="en-US" w:eastAsia="zh-CN"/>
        </w:rPr>
        <w:t>2025年</w:t>
      </w:r>
      <w:r>
        <w:rPr>
          <w:rFonts w:hint="eastAsia" w:ascii="仿宋_GB2312" w:hAnsi="仿宋_GB2312" w:eastAsia="仿宋_GB2312" w:cs="仿宋_GB2312"/>
          <w:sz w:val="32"/>
          <w:szCs w:val="32"/>
          <w:highlight w:val="none"/>
        </w:rPr>
        <w:t>我局未制定、发布</w:t>
      </w:r>
      <w:r>
        <w:rPr>
          <w:rFonts w:hint="eastAsia" w:ascii="仿宋_GB2312" w:hAnsi="仿宋_GB2312" w:eastAsia="仿宋_GB2312" w:cs="仿宋_GB2312"/>
          <w:sz w:val="32"/>
          <w:szCs w:val="32"/>
          <w:highlight w:val="none"/>
          <w:lang w:eastAsia="zh-CN"/>
        </w:rPr>
        <w:t>以及清理相关</w:t>
      </w:r>
      <w:r>
        <w:rPr>
          <w:rFonts w:hint="eastAsia" w:ascii="仿宋_GB2312" w:hAnsi="仿宋_GB2312" w:eastAsia="仿宋_GB2312" w:cs="仿宋_GB2312"/>
          <w:sz w:val="32"/>
          <w:szCs w:val="32"/>
          <w:highlight w:val="none"/>
        </w:rPr>
        <w:t>税务规范性文件。</w:t>
      </w:r>
      <w:r>
        <w:rPr>
          <w:rFonts w:hint="eastAsia" w:ascii="仿宋_GB2312" w:hAnsi="仿宋_GB2312" w:eastAsia="仿宋_GB2312" w:cs="仿宋_GB2312"/>
          <w:sz w:val="32"/>
          <w:szCs w:val="32"/>
          <w:highlight w:val="none"/>
          <w:lang w:eastAsia="zh-CN"/>
        </w:rPr>
        <w:t>针对上级拟出台的各项规范性文件认真学习研读，结合基层工作实际，积极配合做好相关文件修订的征求意见反馈工作。</w:t>
      </w:r>
    </w:p>
    <w:p w14:paraId="4AD55E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（四）健全行政决策制度体系，持续推进依法科学民主决策</w:t>
      </w:r>
    </w:p>
    <w:p w14:paraId="0CB40B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none"/>
          <w:lang w:eastAsia="zh-CN"/>
        </w:rPr>
        <w:t>严格执行党委议事规则和重大事项决策程序，落实“三重一大”事项集体决策制度，坚持集体讨论决定，贯彻党的民主集中制原则，坚持依法依规决策，充分发挥党委在推进法治建设中的领导核心作用。健全依法决策内部机制，完善重大行政决策程序，强化决策程序的刚性约束，牢固树立依法决策意识，严格遵守法定权限和程序作出决策。同时充分发挥上级部门公职律师、外聘法律顾问等专家团队的辅助决策作用，深入开展风险评估和合法性审查，确保决策科学化、民主化、法治化，不断提高行政决策质量和效率。</w:t>
      </w:r>
    </w:p>
    <w:p w14:paraId="7DBF99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（五）健全行政执法工作体系，坚持严格规范公正文明执法</w:t>
      </w:r>
    </w:p>
    <w:p w14:paraId="77CAEAE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1.</w:t>
      </w:r>
      <w:r>
        <w:rPr>
          <w:rFonts w:hint="eastAsia" w:ascii="仿宋_GB2312" w:hAnsi="仿宋_GB2312" w:eastAsia="仿宋_GB2312" w:cs="仿宋_GB2312"/>
          <w:b/>
          <w:bCs/>
          <w:sz w:val="32"/>
          <w:szCs w:val="32"/>
          <w:highlight w:val="none"/>
          <w:lang w:eastAsia="zh-CN"/>
        </w:rPr>
        <w:t>贯彻落实行政执法</w:t>
      </w:r>
      <w:r>
        <w:rPr>
          <w:rFonts w:hint="eastAsia" w:ascii="仿宋_GB2312" w:hAnsi="仿宋_GB2312" w:eastAsia="仿宋_GB2312" w:cs="仿宋_GB2312"/>
          <w:b/>
          <w:bCs/>
          <w:sz w:val="32"/>
          <w:szCs w:val="32"/>
          <w:highlight w:val="none"/>
        </w:rPr>
        <w:t>“三项制度”</w:t>
      </w:r>
    </w:p>
    <w:p w14:paraId="4FA1C11F">
      <w:pPr>
        <w:widowControl w:val="0"/>
        <w:overflowPunct/>
        <w:autoSpaceDE/>
        <w:autoSpaceDN/>
        <w:adjustRightInd/>
        <w:snapToGrid w:val="0"/>
        <w:spacing w:line="600" w:lineRule="exact"/>
        <w:ind w:firstLine="640"/>
        <w:textAlignment w:val="auto"/>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highlight w:val="none"/>
          <w:lang w:eastAsia="zh-CN"/>
        </w:rPr>
        <w:t>明确“三项制度”事项清单和标准，落实行政执法公示制度，按要求对本局及所辖执法主体《权责清单》进行修订并公示，调整、变更具体权责事项，进一步健全权力运行制度机制，通过门户网站以及执法信息公示平台及时更新我局执法主体及职责、税务执法资格人员信息等事项，按期公布定期定额户信息、非正常户认定信息、欠税信息等事项内容，做到重要信息及时更新，公开透明。</w:t>
      </w:r>
      <w:r>
        <w:rPr>
          <w:rFonts w:hint="eastAsia" w:ascii="仿宋_GB2312" w:hAnsi="仿宋_GB2312" w:eastAsia="仿宋_GB2312" w:cs="仿宋_GB2312"/>
          <w:sz w:val="32"/>
          <w:szCs w:val="32"/>
          <w:highlight w:val="none"/>
          <w:lang w:val="en-US" w:eastAsia="zh-CN"/>
        </w:rPr>
        <w:t>2025年</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napToGrid w:val="0"/>
          <w:sz w:val="32"/>
          <w:szCs w:val="32"/>
          <w:highlight w:val="none"/>
          <w:lang w:val="en-US" w:eastAsia="zh-CN"/>
        </w:rPr>
        <w:t>我局公示定期定额户信息13次，非正常户认定12次，欠税公告4次，纳税信用等级评定1次</w:t>
      </w:r>
      <w:r>
        <w:rPr>
          <w:rFonts w:hint="eastAsia" w:ascii="仿宋_GB2312" w:hAnsi="仿宋_GB2312" w:eastAsia="仿宋_GB2312" w:cs="仿宋_GB2312"/>
          <w:sz w:val="32"/>
          <w:szCs w:val="32"/>
          <w:highlight w:val="none"/>
          <w:lang w:eastAsia="zh-CN"/>
        </w:rPr>
        <w:t>；全面推行执法全过程记录制度，分配、记录执法记录设备配备情况，做到执法全过程痕迹和可回溯管理，不断优化税务执法方式、提升税收治理效能；执行重大执法决定法制审核制度，实行集体审理，加强法制审核队伍正规化、专业化、职业化建设</w:t>
      </w:r>
      <w:r>
        <w:rPr>
          <w:rFonts w:hint="eastAsia" w:ascii="仿宋_GB2312" w:hAnsi="仿宋_GB2312" w:eastAsia="仿宋_GB2312" w:cs="仿宋_GB2312"/>
          <w:sz w:val="32"/>
          <w:szCs w:val="32"/>
          <w:highlight w:val="none"/>
          <w:lang w:val="en-US" w:eastAsia="zh-CN"/>
        </w:rPr>
        <w:t>。</w:t>
      </w:r>
    </w:p>
    <w:p w14:paraId="5C69BE5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highlight w:val="none"/>
        </w:rPr>
        <w:t>2.</w:t>
      </w:r>
      <w:r>
        <w:rPr>
          <w:rFonts w:hint="eastAsia" w:ascii="仿宋_GB2312" w:hAnsi="仿宋_GB2312" w:eastAsia="仿宋_GB2312" w:cs="仿宋_GB2312"/>
          <w:b/>
          <w:bCs/>
          <w:sz w:val="32"/>
          <w:szCs w:val="32"/>
          <w:highlight w:val="none"/>
          <w:lang w:eastAsia="zh-CN"/>
        </w:rPr>
        <w:t>着力提升行政执法质量</w:t>
      </w:r>
    </w:p>
    <w:p w14:paraId="44E393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一是规范行使税务行政处罚裁量权，贯彻落实《华北区域税务行政处罚裁量基准》，及时更新、下发学习材料，统一处罚口径，进一步规范税务行政处罚裁量权行使。二是严格落实“首违不罚”清单制度，规范“首违不罚”工作流程，既要体现“柔性执法有温度”，又要以严格执法为基础，坚持执法刚性，充分保障纳税人合法权益。</w:t>
      </w:r>
    </w:p>
    <w:p w14:paraId="6C6E00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（六）健全突发事件应对体系，依法预防处置重大突发事件</w:t>
      </w:r>
    </w:p>
    <w:p w14:paraId="2DC0F4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是优化完善突发事件应对和预防化解预案。严格落实请示报告制度，压实信访、舆情等工作责任，加强重点人群服务管理、分析疏导，积极推动涉税信访、舆情实质性化解。二是加强办税服务厅突发事件应急管理。针对办税服务厅可能出现的拥堵、系统故障、舆情等突发情况，明确应急处置流程和责任分工，一旦出现突发事件，迅速启动预案，通过及时引导分流、线上线下协同处理等措施，有效化解突发事件。</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年全局未发生重大突发事件。</w:t>
      </w:r>
    </w:p>
    <w:p w14:paraId="733106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highlight w:val="none"/>
        </w:rPr>
      </w:pPr>
      <w:r>
        <w:rPr>
          <w:rFonts w:hint="eastAsia" w:ascii="楷体_GB2312" w:hAnsi="楷体_GB2312" w:eastAsia="楷体_GB2312" w:cs="楷体_GB2312"/>
          <w:sz w:val="32"/>
          <w:szCs w:val="32"/>
        </w:rPr>
        <w:t>（七）健全社会矛盾纠纷行政预防调处化解体系，完善权利救</w:t>
      </w:r>
      <w:r>
        <w:rPr>
          <w:rFonts w:hint="eastAsia" w:ascii="楷体_GB2312" w:hAnsi="楷体_GB2312" w:eastAsia="楷体_GB2312" w:cs="楷体_GB2312"/>
          <w:sz w:val="32"/>
          <w:szCs w:val="32"/>
          <w:highlight w:val="none"/>
        </w:rPr>
        <w:t>济和纠纷化解机制</w:t>
      </w:r>
    </w:p>
    <w:p w14:paraId="27D94C2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highlight w:val="none"/>
          <w:lang w:val="en-US" w:eastAsia="zh-CN"/>
        </w:rPr>
        <w:t>1</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eastAsia="zh-CN"/>
        </w:rPr>
        <w:t>健全矛盾争议化解机制</w:t>
      </w:r>
    </w:p>
    <w:p w14:paraId="4961E3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坚持和发展新时代“枫桥经验”，着眼纳税人缴费人现实心理诉求，强化源头治理，以“做实服务、不走过场、常态长效”服务模式妥善解决涉税争议，着力打造“矛盾不上交、服务不缺位、征纳更和谐”的税费争议治理机制。</w:t>
      </w:r>
    </w:p>
    <w:p w14:paraId="636AC55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highlight w:val="none"/>
          <w:lang w:val="en-US" w:eastAsia="zh-CN"/>
        </w:rPr>
        <w:t>2</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eastAsia="zh-CN"/>
        </w:rPr>
        <w:t>依法办理</w:t>
      </w:r>
      <w:r>
        <w:rPr>
          <w:rFonts w:hint="eastAsia" w:ascii="仿宋_GB2312" w:hAnsi="仿宋_GB2312" w:eastAsia="仿宋_GB2312" w:cs="仿宋_GB2312"/>
          <w:b/>
          <w:bCs/>
          <w:sz w:val="32"/>
          <w:szCs w:val="32"/>
          <w:highlight w:val="none"/>
        </w:rPr>
        <w:t>复议</w:t>
      </w:r>
      <w:r>
        <w:rPr>
          <w:rFonts w:hint="eastAsia" w:ascii="仿宋_GB2312" w:hAnsi="仿宋_GB2312" w:eastAsia="仿宋_GB2312" w:cs="仿宋_GB2312"/>
          <w:b/>
          <w:bCs/>
          <w:sz w:val="32"/>
          <w:szCs w:val="32"/>
          <w:highlight w:val="none"/>
          <w:lang w:eastAsia="zh-CN"/>
        </w:rPr>
        <w:t>案件</w:t>
      </w:r>
    </w:p>
    <w:p w14:paraId="7DA834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充分发挥行政复议化解行政纠纷的主渠道作用，严格按照行政复议流程，对照《中华人民共和国行政复议法》，依法办理行政复议案件，切实保障行政相对人的救济权，妥善化解征纳矛盾，维护公民合法权益。</w:t>
      </w:r>
    </w:p>
    <w:p w14:paraId="33F7830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val="en-US" w:eastAsia="zh-CN"/>
        </w:rPr>
        <w:t>3</w:t>
      </w:r>
      <w:r>
        <w:rPr>
          <w:rFonts w:hint="eastAsia" w:ascii="仿宋_GB2312" w:hAnsi="仿宋_GB2312" w:eastAsia="仿宋_GB2312" w:cs="仿宋_GB2312"/>
          <w:b/>
          <w:bCs/>
          <w:sz w:val="32"/>
          <w:szCs w:val="32"/>
          <w:highlight w:val="none"/>
        </w:rPr>
        <w:t>.畅通信访投诉渠道</w:t>
      </w:r>
    </w:p>
    <w:p w14:paraId="5C4CB6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认真执行信访工作规定，保持信访投诉渠道畅通，对来信、来电、来访按规定进行登记处理，对信访对象身份和反映的问题逐一进行记录。</w:t>
      </w:r>
      <w:r>
        <w:rPr>
          <w:rFonts w:hint="eastAsia" w:ascii="仿宋_GB2312" w:hAnsi="仿宋_GB2312" w:eastAsia="仿宋_GB2312" w:cs="仿宋_GB2312"/>
          <w:sz w:val="32"/>
          <w:szCs w:val="32"/>
          <w:highlight w:val="none"/>
          <w:lang w:val="en-US" w:eastAsia="zh-CN"/>
        </w:rPr>
        <w:t>2025年未发生信访投诉事件。</w:t>
      </w:r>
    </w:p>
    <w:p w14:paraId="69871F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（八）健全行政权利制约和监督体系，全面推进政务公开</w:t>
      </w:r>
    </w:p>
    <w:p w14:paraId="72861C0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highlight w:val="none"/>
        </w:rPr>
        <w:t>1.</w:t>
      </w:r>
      <w:r>
        <w:rPr>
          <w:rFonts w:hint="eastAsia" w:ascii="仿宋_GB2312" w:hAnsi="仿宋_GB2312" w:eastAsia="仿宋_GB2312" w:cs="仿宋_GB2312"/>
          <w:b/>
          <w:bCs/>
          <w:sz w:val="32"/>
          <w:szCs w:val="32"/>
          <w:highlight w:val="none"/>
          <w:lang w:eastAsia="zh-CN"/>
        </w:rPr>
        <w:t>持续强化内控监督</w:t>
      </w:r>
    </w:p>
    <w:p w14:paraId="603C57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严格落实内控专项制度，有序开展常态化风险防控工作，强化对政策落实等重点领域的监督检查，加强对重点岗位、关键环节的监督，引导督促税务执法人员规范执法行为，进一步完善综合监督工作机制，严格按照《税务执法责任制实施办法》文件要求，落实执法过错责任追究制度。</w:t>
      </w:r>
    </w:p>
    <w:p w14:paraId="1933247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val="en-US" w:eastAsia="zh-CN"/>
        </w:rPr>
        <w:t>2</w:t>
      </w:r>
      <w:r>
        <w:rPr>
          <w:rFonts w:hint="eastAsia" w:ascii="仿宋_GB2312" w:hAnsi="仿宋_GB2312" w:eastAsia="仿宋_GB2312" w:cs="仿宋_GB2312"/>
          <w:b/>
          <w:bCs/>
          <w:sz w:val="32"/>
          <w:szCs w:val="32"/>
          <w:highlight w:val="none"/>
        </w:rPr>
        <w:t>.全面推行政务公开</w:t>
      </w:r>
    </w:p>
    <w:p w14:paraId="43AB30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持续深化税务领域政务公开制度化、标准化、信息化建设，按照“谁执法、谁公示、谁负责”的原则，结合政府信息公开、权责清单公布、“双随机、一公开”监管等工作要求，依法、及时、主动向社会公开税务执法信息。同时，严格执行</w:t>
      </w:r>
      <w:r>
        <w:rPr>
          <w:rFonts w:hint="eastAsia" w:ascii="仿宋_GB2312" w:hAnsi="仿宋_GB2312" w:eastAsia="仿宋_GB2312" w:cs="仿宋_GB2312"/>
          <w:sz w:val="32"/>
          <w:szCs w:val="32"/>
          <w:highlight w:val="none"/>
        </w:rPr>
        <w:t>《中华人民共和国政府信息公开条例》</w:t>
      </w:r>
      <w:r>
        <w:rPr>
          <w:rFonts w:hint="eastAsia" w:ascii="仿宋_GB2312" w:hAnsi="仿宋_GB2312" w:eastAsia="仿宋_GB2312" w:cs="仿宋_GB2312"/>
          <w:sz w:val="32"/>
          <w:szCs w:val="32"/>
          <w:highlight w:val="none"/>
          <w:lang w:eastAsia="zh-CN"/>
        </w:rPr>
        <w:t>，规范信息公开流程和答复口径，保持受理渠道畅通，答复规范及时，全面接受社会监督。</w:t>
      </w:r>
    </w:p>
    <w:p w14:paraId="650AF2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（九）健全法治政府建设科技保障体系，推进智慧税务创新落实</w:t>
      </w:r>
    </w:p>
    <w:p w14:paraId="2E5882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按照上级部门工作部署要求，以“反向拉起”为引擎，推广“精准推送、智能交互、办问协同、全程互动”的服务模式，在征得纳税人同意后，辅导纳税人登录全国统一规范电子税务局进入征纳互动，坐席人员通过外网税务人端建立线上联系，采取文字、音视频互动、远程协助、三方互动、依职分办等方式，线上解决纳税人在电子税务局办税缴费过程中遇到的相关问题，实现线上线下服务资源统筹调度，推动服务渠道扎口运营管理。</w:t>
      </w:r>
      <w:r>
        <w:rPr>
          <w:rFonts w:hint="eastAsia" w:ascii="仿宋_GB2312" w:hAnsi="仿宋_GB2312" w:eastAsia="仿宋_GB2312" w:cs="仿宋_GB2312"/>
          <w:sz w:val="32"/>
          <w:szCs w:val="32"/>
          <w:highlight w:val="none"/>
          <w:lang w:val="en-US" w:eastAsia="zh-CN"/>
        </w:rPr>
        <w:t>2025年，征纳互动反向拉起业务量达600余户次。</w:t>
      </w:r>
    </w:p>
    <w:p w14:paraId="5BEE0F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（十）加强党的领导，健全依法行政领导体制机制</w:t>
      </w:r>
    </w:p>
    <w:p w14:paraId="3397B1C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highlight w:val="none"/>
        </w:rPr>
        <w:t>1.</w:t>
      </w:r>
      <w:r>
        <w:rPr>
          <w:rFonts w:hint="eastAsia" w:ascii="仿宋_GB2312" w:hAnsi="仿宋_GB2312" w:eastAsia="仿宋_GB2312" w:cs="仿宋_GB2312"/>
          <w:b/>
          <w:bCs/>
          <w:sz w:val="32"/>
          <w:szCs w:val="32"/>
          <w:highlight w:val="none"/>
          <w:lang w:eastAsia="zh-CN"/>
        </w:rPr>
        <w:t>加强党对法治政府建设的领导</w:t>
      </w:r>
    </w:p>
    <w:p w14:paraId="410EE5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严格落实党委主要负责人履行推进法治建设第一责任人职责和依法行政工作领导统筹协调工作机制，充分发挥党在法治建设中的领导核心作用。依托党委领导下的全面依法行政工作领导小组职能，每季度召开一次领导小组工作会议，会上</w:t>
      </w:r>
      <w:r>
        <w:rPr>
          <w:rFonts w:hint="eastAsia" w:ascii="仿宋_GB2312" w:hAnsi="仿宋_GB2312" w:eastAsia="仿宋_GB2312" w:cs="仿宋_GB2312"/>
          <w:sz w:val="32"/>
          <w:szCs w:val="32"/>
          <w:highlight w:val="none"/>
        </w:rPr>
        <w:t>听取</w:t>
      </w:r>
      <w:r>
        <w:rPr>
          <w:rFonts w:hint="eastAsia" w:ascii="仿宋_GB2312" w:hAnsi="仿宋_GB2312" w:eastAsia="仿宋_GB2312" w:cs="仿宋_GB2312"/>
          <w:sz w:val="32"/>
          <w:szCs w:val="32"/>
          <w:highlight w:val="none"/>
          <w:lang w:eastAsia="zh-CN"/>
        </w:rPr>
        <w:t>总结</w:t>
      </w:r>
      <w:r>
        <w:rPr>
          <w:rFonts w:hint="eastAsia" w:ascii="仿宋_GB2312" w:hAnsi="仿宋_GB2312" w:eastAsia="仿宋_GB2312" w:cs="仿宋_GB2312"/>
          <w:sz w:val="32"/>
          <w:szCs w:val="32"/>
          <w:highlight w:val="none"/>
        </w:rPr>
        <w:t>全局依法行政工作汇报，研讨各阶段依法行政重点工作</w:t>
      </w:r>
      <w:r>
        <w:rPr>
          <w:rFonts w:hint="eastAsia" w:ascii="仿宋_GB2312" w:hAnsi="仿宋_GB2312" w:eastAsia="仿宋_GB2312" w:cs="仿宋_GB2312"/>
          <w:sz w:val="32"/>
          <w:szCs w:val="32"/>
          <w:highlight w:val="none"/>
          <w:lang w:eastAsia="zh-CN"/>
        </w:rPr>
        <w:t>，不断提高税务法治思维</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年我局共召开</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次依法行政领导小组会议。</w:t>
      </w:r>
    </w:p>
    <w:p w14:paraId="5590646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highlight w:val="none"/>
        </w:rPr>
        <w:t>2.加强</w:t>
      </w:r>
      <w:r>
        <w:rPr>
          <w:rFonts w:hint="eastAsia" w:ascii="仿宋_GB2312" w:hAnsi="仿宋_GB2312" w:eastAsia="仿宋_GB2312" w:cs="仿宋_GB2312"/>
          <w:b/>
          <w:bCs/>
          <w:sz w:val="32"/>
          <w:szCs w:val="32"/>
          <w:highlight w:val="none"/>
          <w:lang w:eastAsia="zh-CN"/>
        </w:rPr>
        <w:t>法治工作</w:t>
      </w:r>
      <w:r>
        <w:rPr>
          <w:rFonts w:hint="eastAsia" w:ascii="仿宋_GB2312" w:hAnsi="仿宋_GB2312" w:eastAsia="仿宋_GB2312" w:cs="仿宋_GB2312"/>
          <w:b/>
          <w:bCs/>
          <w:sz w:val="32"/>
          <w:szCs w:val="32"/>
          <w:highlight w:val="none"/>
        </w:rPr>
        <w:t>队伍</w:t>
      </w:r>
      <w:r>
        <w:rPr>
          <w:rFonts w:hint="eastAsia" w:ascii="仿宋_GB2312" w:hAnsi="仿宋_GB2312" w:eastAsia="仿宋_GB2312" w:cs="仿宋_GB2312"/>
          <w:b/>
          <w:bCs/>
          <w:sz w:val="32"/>
          <w:szCs w:val="32"/>
          <w:highlight w:val="none"/>
          <w:lang w:eastAsia="zh-CN"/>
        </w:rPr>
        <w:t>建设</w:t>
      </w:r>
    </w:p>
    <w:p w14:paraId="625899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结合总局关于数字化转型条件下的税费征管“强基工程”专项培训、区局举办的“北疆税务讲堂”实操业务培训以及分层级开展的“财税基础训练营”专项培训，针对干部在知识业务结构上的短板弱项，多措并举、多点发力，逐步提高税务执法人员的业务水平和依法履职能力，不断夯实税务法治队伍建设基础。</w:t>
      </w:r>
    </w:p>
    <w:p w14:paraId="329501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二、法治政府建设存在的不足及原因</w:t>
      </w:r>
    </w:p>
    <w:p w14:paraId="1A0FC5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年我局法治政府建设取得了一定成效，但也存在问题和不足：</w:t>
      </w:r>
    </w:p>
    <w:p w14:paraId="2F2C23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rPr>
        <w:t>（</w:t>
      </w:r>
      <w:r>
        <w:rPr>
          <w:rFonts w:hint="eastAsia" w:ascii="楷体_GB2312" w:hAnsi="楷体_GB2312" w:eastAsia="楷体_GB2312" w:cs="楷体_GB2312"/>
          <w:sz w:val="32"/>
          <w:szCs w:val="32"/>
          <w:highlight w:val="none"/>
          <w:lang w:eastAsia="zh-CN"/>
        </w:rPr>
        <w:t>一</w:t>
      </w:r>
      <w:r>
        <w:rPr>
          <w:rFonts w:hint="eastAsia" w:ascii="楷体_GB2312" w:hAnsi="楷体_GB2312" w:eastAsia="楷体_GB2312" w:cs="楷体_GB2312"/>
          <w:sz w:val="32"/>
          <w:szCs w:val="32"/>
          <w:highlight w:val="none"/>
        </w:rPr>
        <w:t>）</w:t>
      </w:r>
      <w:r>
        <w:rPr>
          <w:rFonts w:hint="eastAsia" w:ascii="楷体_GB2312" w:hAnsi="楷体_GB2312" w:eastAsia="楷体_GB2312" w:cs="楷体_GB2312"/>
          <w:sz w:val="32"/>
          <w:szCs w:val="32"/>
          <w:highlight w:val="none"/>
          <w:lang w:eastAsia="zh-CN"/>
        </w:rPr>
        <w:t>距离精确执法尚有差距</w:t>
      </w:r>
    </w:p>
    <w:p w14:paraId="6CC1EC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部分基层执法人员法治思维能力还需进一步提高，对政策掌握的精准度还不够扎实，在执法标准的统一和执法程序的规范性上还有待增强，执法风险防范能力尚有不足。</w:t>
      </w:r>
    </w:p>
    <w:p w14:paraId="21B0DA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rPr>
        <w:t>（二）</w:t>
      </w:r>
      <w:r>
        <w:rPr>
          <w:rFonts w:hint="eastAsia" w:ascii="楷体_GB2312" w:hAnsi="楷体_GB2312" w:eastAsia="楷体_GB2312" w:cs="楷体_GB2312"/>
          <w:sz w:val="32"/>
          <w:szCs w:val="32"/>
          <w:highlight w:val="none"/>
          <w:lang w:eastAsia="zh-CN"/>
        </w:rPr>
        <w:t>普法宣传力度有待加强</w:t>
      </w:r>
    </w:p>
    <w:p w14:paraId="184854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税收普法活动方式大多依赖于集中组织特定纳税人培训，入户走访、电话和微信宣传，普法宣传的范围、方式有一定的局限性，部分纳税人、缴费人对于出台的最新优惠政策掌握不足，导致政策红利未能充分释放。</w:t>
      </w:r>
    </w:p>
    <w:p w14:paraId="0CAE60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rPr>
        <w:t>（</w:t>
      </w:r>
      <w:r>
        <w:rPr>
          <w:rFonts w:hint="eastAsia" w:ascii="楷体_GB2312" w:hAnsi="楷体_GB2312" w:eastAsia="楷体_GB2312" w:cs="楷体_GB2312"/>
          <w:sz w:val="32"/>
          <w:szCs w:val="32"/>
          <w:highlight w:val="none"/>
          <w:lang w:eastAsia="zh-CN"/>
        </w:rPr>
        <w:t>三</w:t>
      </w:r>
      <w:r>
        <w:rPr>
          <w:rFonts w:hint="eastAsia" w:ascii="楷体_GB2312" w:hAnsi="楷体_GB2312" w:eastAsia="楷体_GB2312" w:cs="楷体_GB2312"/>
          <w:sz w:val="32"/>
          <w:szCs w:val="32"/>
          <w:highlight w:val="none"/>
        </w:rPr>
        <w:t>）</w:t>
      </w:r>
      <w:r>
        <w:rPr>
          <w:rFonts w:hint="eastAsia" w:ascii="楷体_GB2312" w:hAnsi="楷体_GB2312" w:eastAsia="楷体_GB2312" w:cs="楷体_GB2312"/>
          <w:sz w:val="32"/>
          <w:szCs w:val="32"/>
          <w:highlight w:val="none"/>
          <w:lang w:eastAsia="zh-CN"/>
        </w:rPr>
        <w:t>税务法治队伍有待加强</w:t>
      </w:r>
    </w:p>
    <w:p w14:paraId="7881B4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法制审核力量还需加强，目前本局暂无公职律师，相关工作人员缺少法律实践经验，难以独立承担行政调解、复议、诉讼工作，还需采取有效措施，培养更多的法律人才和公职律师，发挥其在行政机关合同审核、重大执法决定法制审核、法律适用等疑难问题中的重要作用。</w:t>
      </w:r>
    </w:p>
    <w:p w14:paraId="3C32B5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三、下一步工作重点</w:t>
      </w:r>
    </w:p>
    <w:p w14:paraId="479D09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年，阿巴嘎旗税务局将</w:t>
      </w:r>
      <w:r>
        <w:rPr>
          <w:rFonts w:hint="eastAsia" w:ascii="仿宋_GB2312" w:hAnsi="仿宋_GB2312" w:eastAsia="仿宋_GB2312" w:cs="仿宋_GB2312"/>
          <w:sz w:val="32"/>
          <w:szCs w:val="32"/>
          <w:highlight w:val="none"/>
          <w:lang w:eastAsia="zh-CN"/>
        </w:rPr>
        <w:t>继续深入学习贯彻习近平法治思想，进一步贯彻落实法治税务建设工作要求，努力开创税收法治工作新局面，重点做好以下几方面工作：</w:t>
      </w:r>
    </w:p>
    <w:p w14:paraId="049F3D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持续优化税收执法方式。不断健全执法制度、优化执法方式，提升税务执法效能，严格落实《华北区域税务行政处罚裁量基准》，进一步规范税务行政处罚裁量权行使，切实保障税务行政相对人合法权益，推进区域执法标准统一；深化“以数治税”，打破信息壁垒，通过数据分析系统，精准定位重点领域、关键环节潜在税收风险，形成风险排查模式。</w:t>
      </w:r>
    </w:p>
    <w:p w14:paraId="7C2941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继续加强税收法治宣传。积极探索富含税务特色的普法宣传新路径，如认真落实“八五”普法规划，开展税收宣传月、宪法宣传周等普法宣传活动；加大对诚信纳税企业宣传力度，加强纳税信用评价管理，依法实施守信激励和失信惩戒措施；打造点面结合、覆盖广泛的立体式普法网络，不断提升税收法治宣传的针对性和实效性。</w:t>
      </w:r>
    </w:p>
    <w:p w14:paraId="4B8062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有序推进法治队伍建设。强化执法资格管理，严格落实持证上岗制度；加强新录用公务员税收法律知识培训，确保全员顺利通过税务执法资格考试；努力推动以公职律师为骨干的税务法治人才队伍建设，聘请法律顾问对涉税法律业务给予专业支撑；健全人才引育与储备机制，加大法律专业人才引进力度，同时鼓励在职青年干部考取法律职业资格证，充实专业力量。</w:t>
      </w:r>
    </w:p>
    <w:p w14:paraId="052E37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5AC7A5E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6B4ECFF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国家税务总局阿巴嘎旗税务局</w:t>
      </w:r>
      <w:r>
        <w:rPr>
          <w:rFonts w:hint="eastAsia" w:ascii="仿宋_GB2312" w:hAnsi="仿宋_GB2312" w:eastAsia="仿宋_GB2312" w:cs="仿宋_GB2312"/>
          <w:sz w:val="32"/>
          <w:szCs w:val="32"/>
          <w:lang w:eastAsia="zh-CN"/>
        </w:rPr>
        <w:t>办公室</w:t>
      </w:r>
    </w:p>
    <w:p w14:paraId="3D04DB0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highlight w:val="none"/>
        </w:rPr>
        <w:t xml:space="preserve"> 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 xml:space="preserve">日  </w:t>
      </w:r>
    </w:p>
    <w:p w14:paraId="09F3E48D">
      <w:pPr>
        <w:pStyle w:val="2"/>
        <w:rPr>
          <w:rFonts w:hint="eastAsia" w:ascii="仿宋_GB2312" w:hAnsi="仿宋_GB2312" w:eastAsia="仿宋_GB2312" w:cs="仿宋_GB2312"/>
          <w:sz w:val="32"/>
          <w:szCs w:val="32"/>
        </w:rPr>
      </w:pPr>
    </w:p>
    <w:p w14:paraId="52C1BA30">
      <w:pPr>
        <w:rPr>
          <w:rFonts w:hint="eastAsia"/>
        </w:rPr>
      </w:pPr>
    </w:p>
    <w:p w14:paraId="10DD5BCD">
      <w:pPr>
        <w:bidi w:val="0"/>
        <w:rPr>
          <w:rFonts w:hint="eastAsia" w:asciiTheme="minorHAnsi" w:hAnsiTheme="minorHAnsi" w:eastAsiaTheme="minorEastAsia" w:cstheme="minorBidi"/>
          <w:kern w:val="2"/>
          <w:sz w:val="21"/>
          <w:szCs w:val="24"/>
          <w:lang w:val="en-US" w:eastAsia="zh-CN" w:bidi="ar-SA"/>
        </w:rPr>
      </w:pPr>
    </w:p>
    <w:p w14:paraId="5FB87292">
      <w:pPr>
        <w:bidi w:val="0"/>
        <w:jc w:val="left"/>
        <w:rPr>
          <w:rFonts w:hint="eastAsia"/>
          <w:lang w:val="en-US" w:eastAsia="zh-CN"/>
        </w:rPr>
      </w:pPr>
    </w:p>
    <w:sectPr>
      <w:footerReference r:id="rId3" w:type="default"/>
      <w:pgSz w:w="11906" w:h="16838"/>
      <w:pgMar w:top="2098" w:right="1361" w:bottom="1984" w:left="130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61BC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B49EFA">
                          <w:pPr>
                            <w:pStyle w:val="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CB49EFA">
                    <w:pPr>
                      <w:pStyle w:val="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537588"/>
    <w:rsid w:val="000B3718"/>
    <w:rsid w:val="0065385D"/>
    <w:rsid w:val="02414432"/>
    <w:rsid w:val="02B92274"/>
    <w:rsid w:val="035263D7"/>
    <w:rsid w:val="0386632F"/>
    <w:rsid w:val="03E9574C"/>
    <w:rsid w:val="05231DED"/>
    <w:rsid w:val="05D976F5"/>
    <w:rsid w:val="06BB225F"/>
    <w:rsid w:val="087245A5"/>
    <w:rsid w:val="095E0F9C"/>
    <w:rsid w:val="09775C5A"/>
    <w:rsid w:val="0A5253F7"/>
    <w:rsid w:val="0A6815EE"/>
    <w:rsid w:val="0CCB1AA4"/>
    <w:rsid w:val="0D21173E"/>
    <w:rsid w:val="0F846813"/>
    <w:rsid w:val="105C0CAD"/>
    <w:rsid w:val="11030725"/>
    <w:rsid w:val="111C11AB"/>
    <w:rsid w:val="11406759"/>
    <w:rsid w:val="12205A49"/>
    <w:rsid w:val="12960822"/>
    <w:rsid w:val="13C24CE0"/>
    <w:rsid w:val="14051F36"/>
    <w:rsid w:val="14511474"/>
    <w:rsid w:val="17547DB3"/>
    <w:rsid w:val="19AD3902"/>
    <w:rsid w:val="1A1618B0"/>
    <w:rsid w:val="1B77012B"/>
    <w:rsid w:val="1BEB72EA"/>
    <w:rsid w:val="1E0A48CE"/>
    <w:rsid w:val="1E716504"/>
    <w:rsid w:val="1F9E15CA"/>
    <w:rsid w:val="20996496"/>
    <w:rsid w:val="20FA407F"/>
    <w:rsid w:val="221D251F"/>
    <w:rsid w:val="23217BC7"/>
    <w:rsid w:val="23F71F19"/>
    <w:rsid w:val="25150BF3"/>
    <w:rsid w:val="265828E5"/>
    <w:rsid w:val="2791490C"/>
    <w:rsid w:val="27E420A2"/>
    <w:rsid w:val="28146952"/>
    <w:rsid w:val="29474B48"/>
    <w:rsid w:val="2A6262CD"/>
    <w:rsid w:val="2B5F2B06"/>
    <w:rsid w:val="2C9C1C8E"/>
    <w:rsid w:val="2C9D42B6"/>
    <w:rsid w:val="2DB318B6"/>
    <w:rsid w:val="2EB97ED4"/>
    <w:rsid w:val="32DC0387"/>
    <w:rsid w:val="32E63B71"/>
    <w:rsid w:val="347070DA"/>
    <w:rsid w:val="361922AE"/>
    <w:rsid w:val="36934C9B"/>
    <w:rsid w:val="36E70B7B"/>
    <w:rsid w:val="3732674C"/>
    <w:rsid w:val="39BB011C"/>
    <w:rsid w:val="3A702330"/>
    <w:rsid w:val="3B420C28"/>
    <w:rsid w:val="3BAC7945"/>
    <w:rsid w:val="3DCC1F03"/>
    <w:rsid w:val="3E0A27D3"/>
    <w:rsid w:val="3E2445B7"/>
    <w:rsid w:val="3E4776A0"/>
    <w:rsid w:val="40264EF8"/>
    <w:rsid w:val="406330E7"/>
    <w:rsid w:val="409856E5"/>
    <w:rsid w:val="41695C1F"/>
    <w:rsid w:val="41E255DA"/>
    <w:rsid w:val="44A67571"/>
    <w:rsid w:val="450E1684"/>
    <w:rsid w:val="497D6962"/>
    <w:rsid w:val="4AB20C92"/>
    <w:rsid w:val="4C2B6F3A"/>
    <w:rsid w:val="4C537588"/>
    <w:rsid w:val="4F3605D4"/>
    <w:rsid w:val="4F7925C2"/>
    <w:rsid w:val="50975099"/>
    <w:rsid w:val="523C4F99"/>
    <w:rsid w:val="53F4458D"/>
    <w:rsid w:val="55EE0314"/>
    <w:rsid w:val="576A2B16"/>
    <w:rsid w:val="57CF5361"/>
    <w:rsid w:val="57D20495"/>
    <w:rsid w:val="58013CBB"/>
    <w:rsid w:val="59212175"/>
    <w:rsid w:val="595569E0"/>
    <w:rsid w:val="59664B99"/>
    <w:rsid w:val="5A7E33B3"/>
    <w:rsid w:val="5AE07CBA"/>
    <w:rsid w:val="5C2B3ADF"/>
    <w:rsid w:val="5E1748C3"/>
    <w:rsid w:val="5F236E68"/>
    <w:rsid w:val="5F74686F"/>
    <w:rsid w:val="616156EB"/>
    <w:rsid w:val="61A70B88"/>
    <w:rsid w:val="625845FF"/>
    <w:rsid w:val="632E1E4F"/>
    <w:rsid w:val="63922F07"/>
    <w:rsid w:val="64387E71"/>
    <w:rsid w:val="65E07EF4"/>
    <w:rsid w:val="66925ECA"/>
    <w:rsid w:val="671546ED"/>
    <w:rsid w:val="6756FA18"/>
    <w:rsid w:val="67976CB4"/>
    <w:rsid w:val="67C33E76"/>
    <w:rsid w:val="68726336"/>
    <w:rsid w:val="687367E1"/>
    <w:rsid w:val="68C93971"/>
    <w:rsid w:val="6A037867"/>
    <w:rsid w:val="6B1C34E5"/>
    <w:rsid w:val="6C41658A"/>
    <w:rsid w:val="6D6508DE"/>
    <w:rsid w:val="718E7592"/>
    <w:rsid w:val="73FA09C5"/>
    <w:rsid w:val="74686CD7"/>
    <w:rsid w:val="74EF5821"/>
    <w:rsid w:val="78325C2A"/>
    <w:rsid w:val="7A372B1A"/>
    <w:rsid w:val="7A977B83"/>
    <w:rsid w:val="7D0652F0"/>
    <w:rsid w:val="7EF67EBD"/>
    <w:rsid w:val="7F1759EF"/>
    <w:rsid w:val="AFD66360"/>
    <w:rsid w:val="FF9BD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99"/>
    <w:pPr>
      <w:wordWrap w:val="0"/>
      <w:ind w:left="1096"/>
    </w:pPr>
  </w:style>
  <w:style w:type="paragraph" w:styleId="3">
    <w:name w:val="Plain Text"/>
    <w:basedOn w:val="1"/>
    <w:unhideWhenUsed/>
    <w:qFormat/>
    <w:uiPriority w:val="99"/>
    <w:pPr>
      <w:widowControl w:val="0"/>
      <w:overflowPunct/>
      <w:autoSpaceDE/>
      <w:autoSpaceDN/>
      <w:adjustRightInd/>
      <w:textAlignment w:val="auto"/>
    </w:pPr>
    <w:rPr>
      <w:rFonts w:ascii="宋体" w:hAnsi="Courier New" w:cs="Courier New"/>
      <w:kern w:val="2"/>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Normal Indent1"/>
    <w:semiHidden/>
    <w:qFormat/>
    <w:uiPriority w:val="0"/>
    <w:pPr>
      <w:widowControl w:val="0"/>
      <w:spacing w:line="660" w:lineRule="exact"/>
      <w:ind w:firstLine="720" w:firstLineChars="200"/>
      <w:jc w:val="both"/>
    </w:pPr>
    <w:rPr>
      <w:rFonts w:ascii="Calibri" w:hAnsi="Calibri" w:eastAsia="楷体_GB2312" w:cs="Times New Roman"/>
      <w:kern w:val="2"/>
      <w:sz w:val="36"/>
      <w:szCs w:val="36"/>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1</TotalTime>
  <ScaleCrop>false</ScaleCrop>
  <LinksUpToDate>false</LinksUpToDate>
  <CharactersWithSpaces>0</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2025-01-15T08:35:00Z</dcterms:created>
  <dc:creator>徐文博</dc:creator>
  <cp:lastModifiedBy>user</cp:lastModifiedBy>
  <dcterms:modified xsi:type="dcterms:W3CDTF">2026-06-22T11:41:15Z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EF65B3EFD6088787DBAE386A61F2519F_42</vt:lpwstr>
  </property>
</Properties>
</file>