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第二批实行告知承诺制的税务证明事项目录及告知承诺书格式文本</w:t>
      </w:r>
    </w:p>
    <w:bookmarkEnd w:id="0"/>
    <w:tbl>
      <w:tblPr>
        <w:tblStyle w:val="3"/>
        <w:tblW w:w="12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4394"/>
        <w:gridCol w:w="6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43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 w:firstLine="33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证明名称</w:t>
            </w:r>
          </w:p>
        </w:tc>
        <w:tc>
          <w:tcPr>
            <w:tcW w:w="69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 w:firstLine="33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证明用途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国家综合性消防救援车辆证明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纳税人取得悬挂应急救援专用号牌的国家综合性消防救援车辆，申报享受免征车辆购置税政策。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公共汽电车辆认定表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城市公交企业取得公共汽电车辆，申报享受免征车辆购置税政策。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专用车证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1.防汛部门取得用于指挥、检查、调度、报汛（警）、联络的由指定厂家生产的设有固定装置的指定型号的车辆，申报享受免征车辆购置税政策（提供“防汛专用车证”）。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2.森林消防部门取得用于指挥、检查、调度、报汛（警）、联络的由指定厂家生产的设有固定装置的指定型号的车辆，申报享受免征车辆购置税政策（提供“森林消防专用车证”）。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家庭成员信息证明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个人转让自用5年以上，并且是家庭唯一生活用房，申报享受免征个人所得税政策。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家庭唯一生活用房证明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个人转让自用5年以上，并且是家庭唯一生活用房，申报享受免征个人所得税政策。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个体工商户的经营者身份证明、合伙企业合伙人的合伙身份证明</w:t>
            </w:r>
          </w:p>
        </w:tc>
        <w:tc>
          <w:tcPr>
            <w:tcW w:w="69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1.个体工商户的经营者将其个人名下的房屋、土地权属转移至个体工商户名下，或者个体工商户将其名下的房屋、土地权属转回原经营者个人名下，申报享受免征契税政策。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6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sz w:val="19"/>
                <w:szCs w:val="19"/>
              </w:rPr>
              <w:t>2.合伙企业的合伙人将其名下的房屋、土地权属转移至合伙企业名下，或者合伙企业将其名下的房屋、土地权属转回原合伙人名下，申报享受免征契税政策。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E0725"/>
    <w:rsid w:val="692E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2026-05-20T08:27:00Z</dcterms:created>
  <dc:creator>Administrator</dc:creator>
  <cp:lastModifiedBy>Administrator</cp:lastModifiedBy>
  <dcterms:modified xsi:type="dcterms:W3CDTF">2026-05-20T08:27:34Z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