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bookmarkStart w:id="0" w:name="_GoBack"/>
      <w:r>
        <w:rPr>
          <w:b/>
          <w:bCs/>
          <w:i w:val="0"/>
          <w:iCs w:val="0"/>
          <w:caps w:val="0"/>
          <w:color w:val="333333"/>
          <w:spacing w:val="0"/>
          <w:sz w:val="42"/>
          <w:szCs w:val="42"/>
          <w:bdr w:val="none" w:color="auto" w:sz="0" w:space="0"/>
        </w:rPr>
        <w:t>财政部 海关总署 税务总局关于跨境电子商务出口退运商品税收优惠政策的公告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财政部 海关总署 税务总局公告2026年第16号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发布时间：2026-02-06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来源：国家税务总局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"http://71.17.24.17/wjjb/zxwj/202602/javascript:window.print()"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8"/>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为支持跨境电子商务新业态发展，现将跨境电子商务出口退运商品税收优惠政策公告如下：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对自2026年1月1日至2027年12月31日期间在跨境电子商务海关监管代码（1210、9610、9710、9810）项下申报出口，因滞销、退货原因，自出口之日起6个月内原状退运进境的商品（不含食品），免征进口关税和进口环节增值税、消费税；出口时已征收的出口关税准予退还，出口时已征收的增值税、消费税参照内销货物发生退货有关税收规定执行。其中，监管代码1210项下出口商品，应自海关特殊监管区域或保税物流中心（B型）出区离境之日起6个月内退运至境内区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对符合第一条规定的商品，已办理出口退税的，企业应当按现行规定补缴已退的税款。企业应当凭主管税务机关出具的《出口货物已补税/未退税证明》，申请办理免征进口关税和进口环节增值税、消费税，退还出口关税手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第一条中规定的“原状退运进境”是指出口商品退运进境时的最小商品形态应与原出口时的形态基本一致，不得增加任何配件或部件，不能经过任何加工、改装，但经拆箱、检（化）验、安装、调试等仍可视为“原状”；退运进境商品应未被使用过，但对于只有经过试用才能发现品质不良或可证明被客户试用后退货的情况除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对符合第一、二、三条规定的商品，企业应当提交出口商品申报清单或出口报关单、退运原因说明等证明该商品确为因滞销、退货原因而退运进境的材料，并对材料的真实性承担法律责任。对因滞销退运的商品，企业应提供“自我声明”作为退运原因说明材料，承诺为因滞销退运，并据此办理退运免税等手续。对因退货退运的商品，企业应提供退货记录（含跨境电子商务平台上的退货记录或拒收记录）、返货协议等作为退运原因说明材料，海关据此办理退运免税等手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五、企业偷税、骗税等违法违规行为，按照国家有关法律法规等规定处理。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特此公告。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财政部 海关总署 税务总局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2026年2月6日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F7081"/>
    <w:rsid w:val="323C7824"/>
    <w:rsid w:val="4AB0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2026-06-12T06:38:00Z</dcterms:created>
  <dc:creator>Administrator</dc:creator>
  <cp:lastModifiedBy>俎韬</cp:lastModifiedBy>
  <dcterms:modified xsi:type="dcterms:W3CDTF">2026-06-12T06:44:13Z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