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国家税务总局乌兰察布市税务局第二税务分局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行政职权运行流程图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税费征收</w:t>
      </w:r>
    </w:p>
    <w:p/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010301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车辆购置税征收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5" o:spt="75" type="#_x0000_t75" style="height:417.7pt;width:43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010302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车辆购置税减免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6" o:spt="75" type="#_x0000_t75" style="height:287.5pt;width:369.3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多缴税款退（抵）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7" o:spt="75" type="#_x0000_t75" style="height:347.7pt;width:414.8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8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01—01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07社会保险费征收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9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7FA2"/>
    <w:rsid w:val="59ED1BA2"/>
    <w:rsid w:val="7B7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2025-11-27T04:03:00Z</dcterms:created>
  <dc:creator>Administrator</dc:creator>
  <cp:lastModifiedBy>田亚飞</cp:lastModifiedBy>
  <dcterms:modified xsi:type="dcterms:W3CDTF">2025-11-27T08:36:41Z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