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项通知书</w:t>
      </w:r>
    </w:p>
    <w:p w14:paraId="7F5E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</w:t>
      </w:r>
      <w:r>
        <w:rPr>
          <w:rFonts w:hint="eastAsia" w:ascii="楷体_GB2312" w:hAnsi="楷体_GB2312" w:eastAsia="楷体_GB2312" w:cs="楷体_GB2312"/>
          <w:sz w:val="32"/>
          <w:szCs w:val="32"/>
        </w:rPr>
        <w:t>税通〔202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1608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379F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（纳税人识别号：15042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1197001090916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11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张艳梅：（纳税人识别号：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15042119690212092X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CED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事由：责令限期申报缴纳税款</w:t>
      </w:r>
    </w:p>
    <w:p w14:paraId="0866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依据：《中华人民共和国税收征收管理法》第二十五条、第三十二条、第六十二条、第六十四条。</w:t>
      </w:r>
    </w:p>
    <w:p w14:paraId="1CB1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通知内容：根据《内蒙古自治区巴林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旗人民法院执行裁定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663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号之执行裁定内容，限202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日前，携带相关资料至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动产登记中心大厅，办理相关抵债不动产权属转移的税费申报、缴纳等事宜，如未按照规定期限办理纳税申报，从税款滞纳之日起至缴纳或解缴之日止，按日加收滞纳税款万分之五的滞纳金，与税款一并缴纳。逾期仍不缴将按《中华人民共和国税收征收管理法》有关规定处理。</w:t>
      </w:r>
    </w:p>
    <w:p w14:paraId="09F9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239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07C8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1D4D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298B4A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D59B3"/>
    <w:rsid w:val="2EF53AD4"/>
    <w:rsid w:val="51A30BBA"/>
    <w:rsid w:val="6DD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377</Characters>
  <Lines>0</Lines>
  <Paragraphs>0</Paragraphs>
  <TotalTime>76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2026-03-25T01:16:00Z</dcterms:created>
  <dc:creator>云在青天水在瓶</dc:creator>
  <cp:lastModifiedBy>云在青天水在瓶</cp:lastModifiedBy>
  <dcterms:modified xsi:type="dcterms:W3CDTF">2026-03-25T03:12:17Z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70F4882A3C8C4CA4BEF110EA2B53804E_11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