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EE50D">
      <w:pPr>
        <w:jc w:val="center"/>
        <w:rPr>
          <w:rFonts w:hint="eastAsia"/>
          <w:sz w:val="44"/>
          <w:szCs w:val="44"/>
        </w:rPr>
      </w:pPr>
      <w:r>
        <w:rPr>
          <w:rFonts w:hint="eastAsia"/>
          <w:sz w:val="44"/>
          <w:szCs w:val="44"/>
        </w:rPr>
        <w:t>国家税务总局赤峰市税务局稽查局</w:t>
      </w:r>
    </w:p>
    <w:p w14:paraId="478DEAFC">
      <w:pPr>
        <w:jc w:val="center"/>
        <w:rPr>
          <w:rFonts w:hint="eastAsia"/>
          <w:sz w:val="44"/>
          <w:szCs w:val="44"/>
        </w:rPr>
      </w:pPr>
      <w:r>
        <w:rPr>
          <w:rFonts w:hint="eastAsia"/>
          <w:sz w:val="44"/>
          <w:szCs w:val="44"/>
        </w:rPr>
        <w:t>税务</w:t>
      </w:r>
      <w:r>
        <w:rPr>
          <w:rFonts w:hint="eastAsia"/>
          <w:sz w:val="44"/>
          <w:szCs w:val="44"/>
          <w:lang w:eastAsia="zh-CN"/>
        </w:rPr>
        <w:t>事项通知</w:t>
      </w:r>
      <w:bookmarkStart w:id="2" w:name="_GoBack"/>
      <w:bookmarkEnd w:id="2"/>
      <w:r>
        <w:rPr>
          <w:rFonts w:hint="eastAsia"/>
          <w:sz w:val="44"/>
          <w:szCs w:val="44"/>
        </w:rPr>
        <w:t>书</w:t>
      </w:r>
    </w:p>
    <w:p w14:paraId="0ACD84A8">
      <w:pPr>
        <w:jc w:val="center"/>
        <w:rPr>
          <w:rFonts w:hint="eastAsia"/>
        </w:rPr>
      </w:pPr>
      <w:r>
        <w:rPr>
          <w:rFonts w:hint="eastAsia" w:ascii="仿宋_GB2312" w:hAnsi="宋体" w:eastAsia="仿宋_GB2312"/>
          <w:spacing w:val="20"/>
          <w:sz w:val="32"/>
          <w:szCs w:val="30"/>
          <w:lang w:eastAsia="zh-CN"/>
        </w:rPr>
        <w:t>赤</w:t>
      </w:r>
      <w:r>
        <w:rPr>
          <w:rFonts w:hint="eastAsia" w:ascii="仿宋_GB2312" w:hAnsi="宋体" w:eastAsia="仿宋_GB2312"/>
          <w:spacing w:val="20"/>
          <w:sz w:val="32"/>
          <w:szCs w:val="30"/>
          <w:highlight w:val="none"/>
          <w:lang w:eastAsia="zh-CN"/>
        </w:rPr>
        <w:t>税稽税通〔202</w:t>
      </w:r>
      <w:r>
        <w:rPr>
          <w:rFonts w:hint="eastAsia" w:ascii="仿宋_GB2312" w:hAnsi="宋体" w:eastAsia="仿宋_GB2312"/>
          <w:spacing w:val="20"/>
          <w:sz w:val="32"/>
          <w:szCs w:val="30"/>
          <w:highlight w:val="none"/>
          <w:lang w:val="en-US" w:eastAsia="zh-CN"/>
        </w:rPr>
        <w:t>6</w:t>
      </w:r>
      <w:r>
        <w:rPr>
          <w:rFonts w:hint="eastAsia" w:ascii="仿宋_GB2312" w:hAnsi="宋体" w:eastAsia="仿宋_GB2312"/>
          <w:spacing w:val="20"/>
          <w:sz w:val="32"/>
          <w:szCs w:val="30"/>
          <w:highlight w:val="none"/>
          <w:lang w:eastAsia="zh-CN"/>
        </w:rPr>
        <w:t>〕</w:t>
      </w:r>
      <w:r>
        <w:rPr>
          <w:rFonts w:hint="eastAsia" w:ascii="仿宋_GB2312" w:hAnsi="宋体" w:eastAsia="仿宋_GB2312"/>
          <w:spacing w:val="20"/>
          <w:sz w:val="32"/>
          <w:szCs w:val="30"/>
          <w:highlight w:val="none"/>
          <w:lang w:val="en-US" w:eastAsia="zh-CN"/>
        </w:rPr>
        <w:t>172</w:t>
      </w:r>
      <w:r>
        <w:rPr>
          <w:rFonts w:hint="eastAsia" w:ascii="仿宋_GB2312" w:hAnsi="宋体" w:eastAsia="仿宋_GB2312"/>
          <w:spacing w:val="20"/>
          <w:sz w:val="32"/>
          <w:szCs w:val="30"/>
          <w:highlight w:val="none"/>
          <w:lang w:eastAsia="zh-CN"/>
        </w:rPr>
        <w:t>号</w:t>
      </w:r>
    </w:p>
    <w:p w14:paraId="24455176">
      <w:pPr>
        <w:rPr>
          <w:rFonts w:hint="eastAsia" w:ascii="仿宋" w:hAnsi="仿宋" w:eastAsia="仿宋" w:cs="仿宋"/>
          <w:sz w:val="32"/>
          <w:szCs w:val="32"/>
        </w:rPr>
      </w:pPr>
    </w:p>
    <w:p w14:paraId="1C69A8FB">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 w:eastAsia="仿宋_GB2312"/>
          <w:sz w:val="32"/>
        </w:rPr>
      </w:pPr>
      <w:r>
        <w:rPr>
          <w:rFonts w:hint="eastAsia" w:ascii="仿宋_GB2312" w:hAnsi="宋体" w:eastAsia="仿宋_GB2312" w:cs="宋体"/>
          <w:sz w:val="32"/>
          <w:szCs w:val="32"/>
        </w:rPr>
        <w:t>赤峰市志汇装饰工程有限公司</w:t>
      </w:r>
      <w:r>
        <w:rPr>
          <w:rFonts w:hint="eastAsia" w:ascii="仿宋_GB2312" w:hAnsi="仿宋" w:eastAsia="仿宋_GB2312"/>
          <w:sz w:val="32"/>
        </w:rPr>
        <w:t>：（纳税人识别号：</w:t>
      </w:r>
      <w:bookmarkStart w:id="0" w:name="nsrsbh"/>
      <w:bookmarkEnd w:id="0"/>
      <w:r>
        <w:rPr>
          <w:rFonts w:hint="eastAsia" w:ascii="仿宋_GB2312" w:hAnsi="仿宋" w:eastAsia="仿宋_GB2312"/>
          <w:sz w:val="32"/>
          <w:szCs w:val="32"/>
          <w:lang w:eastAsia="zh-CN"/>
        </w:rPr>
        <w:t>91150404MA7LMPT28N</w:t>
      </w:r>
      <w:r>
        <w:rPr>
          <w:rFonts w:hint="eastAsia" w:ascii="仿宋_GB2312" w:hAnsi="仿宋" w:eastAsia="仿宋_GB2312"/>
          <w:sz w:val="32"/>
        </w:rPr>
        <w:t>）</w:t>
      </w:r>
    </w:p>
    <w:p w14:paraId="77817707">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事由：责令限期缴纳税款、滞纳金及罚款。</w:t>
      </w:r>
    </w:p>
    <w:p w14:paraId="330BD168">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依据：《中华人民共和国税收征收管理法》</w:t>
      </w:r>
    </w:p>
    <w:p w14:paraId="5AA6670E">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第三十一条 纳税人、扣缴义务人按照法律、行政法规规定或者税务机关依照法律、行政法规的规定确定的期限，缴纳或者解缴税款。</w:t>
      </w:r>
    </w:p>
    <w:p w14:paraId="35AB6845">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 xml:space="preserve">第三十八条　税务机关有根据认为从事生产、经营的纳税人有逃避纳税义务行为的，可以在规定的纳税期之前，责令限期缴纳应纳税款；在限期内发现纳税人有明显的转移、隐匿其应纳税的商品、货物以及其他财产或者应纳税的收入的迹象的，税务机关可以责成纳税人提供纳税担保。如果纳税人不能提供纳税担保，经县以上税务局(分局)局长批准，税务机关可以采取下列税收保全措施: </w:t>
      </w:r>
    </w:p>
    <w:p w14:paraId="7C80F90B">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(一)书面通知纳税人开户银行或者其他金融机构冻结纳税人的金额相当于应纳税款的存款；</w:t>
      </w:r>
    </w:p>
    <w:p w14:paraId="7135DC65">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(二)扣押、查封纳税人的价值相当于应纳税款的商品、货物或者其他财产。</w:t>
      </w:r>
    </w:p>
    <w:p w14:paraId="4D122827">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第四十四条　欠缴税款的纳税人或者他的法定代表人需要出境的，应当在出境前向税务机关结清应纳税款、滞纳金或者提供担保。未结清税款、滞纳金，又不提供担保的，税务机关可以通知出境管理机关阻止其出境。</w:t>
      </w:r>
    </w:p>
    <w:p w14:paraId="035E3B41">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第八十八条　纳税人、扣缴义务人、纳税担保人同税务机关在纳税上发生争议时，必须先依照税务机关的纳税决定缴纳或者解缴税款及滞纳金或者提供相应的担保，然后可以依法申请行政复议；对行政复议决定不服的，可以依法向人民法院起诉。</w:t>
      </w:r>
    </w:p>
    <w:p w14:paraId="58FEB7B3">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《中华人民共和国税收征收管理法实施细则》</w:t>
      </w:r>
    </w:p>
    <w:p w14:paraId="0DB81B64">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第六十一条 税收征管法第三十八条、第八十八条所称担保，包括经税务机关认可的纳税保证人为纳税人提供的纳税保证，以及纳税人或者第三人以其未设置或者未全部设置担保物权的财产提供的担保。</w:t>
      </w:r>
    </w:p>
    <w:p w14:paraId="1C9A929A">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纳税保证人，是指在中国境内具有纳税担保能力的自然人、法人或者其他经济组织。</w:t>
      </w:r>
    </w:p>
    <w:p w14:paraId="6C5ACDBD">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法律、行政法规规定的没有担保资格的单位和个人，不得作为纳税担保人。</w:t>
      </w:r>
    </w:p>
    <w:p w14:paraId="0838A959">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0"/>
        <w:rPr>
          <w:rFonts w:hint="eastAsia" w:ascii="仿宋_GB2312" w:hAnsi="宋体" w:eastAsia="仿宋_GB2312" w:cs="Times New Roman"/>
          <w:sz w:val="32"/>
          <w:szCs w:val="30"/>
          <w:lang w:val="en-US" w:eastAsia="zh-CN"/>
        </w:rPr>
      </w:pPr>
      <w:r>
        <w:rPr>
          <w:rFonts w:hint="eastAsia" w:ascii="仿宋_GB2312" w:hAnsi="宋体" w:eastAsia="仿宋_GB2312" w:cs="Times New Roman"/>
          <w:sz w:val="32"/>
          <w:szCs w:val="30"/>
          <w:lang w:val="en-US" w:eastAsia="zh-CN"/>
        </w:rPr>
        <w:t>第六十二条　纳税担保人同意为纳税人提供纳税担保的，应当填写纳税担保书，写明担保对象、担保范围、担保期限和担保责任以及其他有关事项。担保书须经纳税人、纳税担保人签字盖章并经税务机关同意，方为有效。</w:t>
      </w:r>
    </w:p>
    <w:p w14:paraId="4C6A6FC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纳税人或者第三人以其财产提供纳税担保的，应当填写财产清单，并写明财产价值以及其他有关事项。纳税担保财产清单须经纳税人、第三人签字盖章并经税务机关确认，方为有效。</w:t>
      </w:r>
    </w:p>
    <w:p w14:paraId="5C17BD3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第六十四条　税务机关执行税收征管法第三十七条、第三十八条、第四十条的规定，扣押、查封价值相当于应纳税款的商品、货物或者其他财产时，参照同类商品的市场价、出厂价或者评估价估算。</w:t>
      </w:r>
    </w:p>
    <w:p w14:paraId="79D57F5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税务机关按照前款方法确定应扣押、查封的商品、货物或者其他财产的价值时，还应当包括滞纳金和扣押、查封、保管、拍卖、变卖所发生的费用。</w:t>
      </w:r>
    </w:p>
    <w:p w14:paraId="6F6E952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第七十三条 从事生产、经营的纳税人、扣缴义务人未按照规定的期限缴纳或者解缴税款的，纳税担保人未按照规定的期限缴纳所担保的税款的，由税务机关发出限期缴纳税款通知书，责令缴纳或者解缴税款的最长期限不得超过 15 日。</w:t>
      </w:r>
    </w:p>
    <w:p w14:paraId="67C8C23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第七十四条 欠缴税款的纳税人或者其法定代表人在出境前未按照规定结清应纳税款、滞纳金或者提供纳税担保的，税务机关可以通知出入境管理机关阻止其出境。阻止出境的具体办法，由国家税务总局会同公安部制定。</w:t>
      </w:r>
    </w:p>
    <w:p w14:paraId="3BF6696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第一百条 税收征管法第八十八条规定的纳税争议，是指纳税人、扣缴义务人、纳税担保人对税务机关确定纳税主体、征税对象、征税范围、减税、免税及退税、适用税率、计税依据、纳税环节、纳税期限、纳税地点以及税款征收方式等具体行政行为有异议而发生的争议。</w:t>
      </w:r>
    </w:p>
    <w:p w14:paraId="1FA94FC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 xml:space="preserve">通知内容：限你公司在收到本通知书 15 日内按照我局《税务处理决定书》（赤税稽处〔2026〕53 号）《税务行政处罚决定书》（赤税稽罚〔2026]15 号）之内容缴纳相关税款和罚款或者提供纳税担保。 </w:t>
      </w:r>
    </w:p>
    <w:p w14:paraId="549B4D3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 xml:space="preserve"> </w:t>
      </w:r>
    </w:p>
    <w:p w14:paraId="222D892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rPr>
      </w:pPr>
      <w:r>
        <w:rPr>
          <w:rFonts w:hint="eastAsia" w:ascii="仿宋_GB2312" w:hAnsi="宋体" w:eastAsia="仿宋_GB2312"/>
          <w:sz w:val="32"/>
          <w:szCs w:val="30"/>
        </w:rPr>
        <w:t xml:space="preserve"> </w:t>
      </w:r>
    </w:p>
    <w:p w14:paraId="6E7EFE8B">
      <w:pPr>
        <w:keepNext w:val="0"/>
        <w:keepLines w:val="0"/>
        <w:pageBreakBefore w:val="0"/>
        <w:widowControl w:val="0"/>
        <w:kinsoku/>
        <w:wordWrap/>
        <w:overflowPunct/>
        <w:topLinePunct w:val="0"/>
        <w:autoSpaceDE/>
        <w:autoSpaceDN/>
        <w:bidi w:val="0"/>
        <w:adjustRightInd/>
        <w:snapToGrid/>
        <w:spacing w:line="240" w:lineRule="auto"/>
        <w:ind w:firstLine="4800" w:firstLineChars="1500"/>
        <w:jc w:val="left"/>
        <w:textAlignment w:val="auto"/>
        <w:rPr>
          <w:rFonts w:hint="eastAsia" w:ascii="仿宋_GB2312" w:hAnsi="宋体" w:eastAsia="仿宋_GB2312"/>
          <w:sz w:val="32"/>
          <w:szCs w:val="30"/>
        </w:rPr>
      </w:pPr>
      <w:r>
        <w:rPr>
          <w:rFonts w:hint="eastAsia" w:ascii="仿宋_GB2312" w:hAnsi="宋体" w:eastAsia="仿宋_GB2312"/>
          <w:sz w:val="32"/>
          <w:szCs w:val="30"/>
        </w:rPr>
        <w:t xml:space="preserve">二Ｏ二六年六月九日 </w:t>
      </w:r>
    </w:p>
    <w:p w14:paraId="48BB066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sz w:val="32"/>
          <w:szCs w:val="30"/>
          <w:highlight w:val="none"/>
          <w:lang w:eastAsia="zh-CN"/>
        </w:rPr>
      </w:pP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r>
        <w:rPr>
          <w:rFonts w:hint="eastAsia" w:ascii="仿宋_GB2312" w:hAnsi="宋体" w:eastAsia="仿宋_GB2312"/>
          <w:sz w:val="32"/>
          <w:szCs w:val="30"/>
        </w:rPr>
        <w:tab/>
      </w:r>
      <w:bookmarkStart w:id="1" w:name="wszzrq"/>
      <w:bookmarkEnd w:id="1"/>
    </w:p>
    <w:p w14:paraId="477CBC4B">
      <w:pPr>
        <w:ind w:firstLine="640" w:firstLineChars="20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34D9B"/>
    <w:rsid w:val="000A1266"/>
    <w:rsid w:val="09D41DD9"/>
    <w:rsid w:val="3E484F82"/>
    <w:rsid w:val="45D34D9B"/>
    <w:rsid w:val="4C584B1C"/>
    <w:rsid w:val="5DEC1571"/>
    <w:rsid w:val="677D0E49"/>
    <w:rsid w:val="6AF11E2B"/>
    <w:rsid w:val="735D3B46"/>
    <w:rsid w:val="74DFBE4F"/>
    <w:rsid w:val="7D8FCDD9"/>
    <w:rsid w:val="BDEFBC13"/>
    <w:rsid w:val="D7C36D52"/>
    <w:rsid w:val="DA9C47FA"/>
    <w:rsid w:val="DDFF8FC3"/>
    <w:rsid w:val="FBDE9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ind w:left="108"/>
    </w:pPr>
    <w:rPr>
      <w:rFonts w:ascii="仿宋_GB2312" w:hAnsi="仿宋_GB2312" w:eastAsia="仿宋_GB2312" w:cs="仿宋_GB2312"/>
      <w:sz w:val="32"/>
      <w:szCs w:val="32"/>
      <w:lang w:val="en-US"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25</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2025-12-30T08:33:00Z</dcterms:created>
  <dc:creator>Administrator</dc:creator>
  <cp:lastModifiedBy>jiaoming</cp:lastModifiedBy>
  <dcterms:modified xsi:type="dcterms:W3CDTF">2026-06-16T16:06:12Z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C7B0CF6CE213EB4EF403316AEAF51A36_43</vt:lpwstr>
  </property>
</Properties>
</file>