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autoSpaceDE w:val="0"/>
        <w:autoSpaceDN w:val="0"/>
        <w:spacing w:before="0" w:after="0" w:line="360" w:lineRule="auto"/>
        <w:jc w:val="center"/>
        <w:rPr>
          <w:rFonts w:hint="eastAsia" w:ascii="宋体" w:hAnsi="宋体" w:eastAsia="宋体" w:cs="宋体"/>
          <w:b/>
          <w:sz w:val="96"/>
          <w:szCs w:val="96"/>
          <w:lang w:eastAsia="zh-CN"/>
        </w:rPr>
      </w:pPr>
    </w:p>
    <w:p>
      <w:pPr>
        <w:widowControl w:val="0"/>
        <w:topLinePunct/>
        <w:autoSpaceDE w:val="0"/>
        <w:autoSpaceDN w:val="0"/>
        <w:spacing w:before="0" w:after="0" w:line="360" w:lineRule="auto"/>
        <w:jc w:val="center"/>
        <w:rPr>
          <w:rFonts w:hint="eastAsia" w:ascii="宋体" w:hAnsi="宋体" w:eastAsia="宋体" w:cs="宋体"/>
          <w:b/>
          <w:sz w:val="96"/>
          <w:szCs w:val="96"/>
          <w:lang w:eastAsia="zh-CN"/>
        </w:rPr>
      </w:pPr>
      <w:r>
        <w:rPr>
          <w:rFonts w:hint="eastAsia" w:ascii="宋体" w:hAnsi="宋体" w:eastAsia="宋体" w:cs="宋体"/>
          <w:b/>
          <w:sz w:val="96"/>
          <w:szCs w:val="96"/>
          <w:lang w:eastAsia="zh-CN"/>
        </w:rPr>
        <w:t>采 购 需 求</w:t>
      </w:r>
    </w:p>
    <w:p>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pPr>
        <w:widowControl w:val="0"/>
        <w:topLinePunct/>
        <w:autoSpaceDE w:val="0"/>
        <w:autoSpaceDN w:val="0"/>
        <w:spacing w:before="0" w:after="0" w:line="360" w:lineRule="auto"/>
        <w:jc w:val="center"/>
        <w:rPr>
          <w:rFonts w:hint="eastAsia" w:ascii="宋体" w:hAnsi="宋体" w:eastAsia="宋体" w:cs="宋体"/>
          <w:b/>
          <w:sz w:val="30"/>
          <w:szCs w:val="30"/>
          <w:lang w:eastAsia="zh-CN"/>
        </w:rPr>
      </w:pPr>
      <w:r>
        <w:rPr>
          <w:rFonts w:hint="eastAsia" w:ascii="宋体" w:hAnsi="宋体" w:eastAsia="宋体" w:cs="宋体"/>
          <w:b/>
          <w:sz w:val="30"/>
          <w:szCs w:val="30"/>
          <w:lang w:eastAsia="zh-CN"/>
        </w:rPr>
        <w:t>项目名称：</w:t>
      </w:r>
      <w:bookmarkStart w:id="0" w:name="项目名称_projectName"/>
      <w:r>
        <w:rPr>
          <w:rFonts w:hint="eastAsia" w:ascii="宋体" w:hAnsi="宋体" w:eastAsia="宋体" w:cs="宋体"/>
          <w:b/>
          <w:sz w:val="30"/>
          <w:szCs w:val="30"/>
          <w:lang w:eastAsia="zh-CN"/>
        </w:rPr>
        <w:t>国家税务总局达尔罕茂明安联合旗税务局百灵庙镇税务所综合业务办公用房维修改造项目</w:t>
      </w:r>
      <w:bookmarkEnd w:id="0"/>
    </w:p>
    <w:p>
      <w:pPr>
        <w:widowControl w:val="0"/>
        <w:spacing w:before="0" w:after="0" w:line="360" w:lineRule="auto"/>
        <w:jc w:val="both"/>
        <w:rPr>
          <w:rFonts w:hint="eastAsia" w:ascii="宋体" w:hAnsi="宋体" w:eastAsia="宋体" w:cs="宋体"/>
          <w:kern w:val="2"/>
          <w:sz w:val="32"/>
          <w:szCs w:val="32"/>
          <w:lang w:eastAsia="zh-CN"/>
        </w:rPr>
      </w:pPr>
    </w:p>
    <w:p>
      <w:pPr>
        <w:widowControl w:val="0"/>
        <w:spacing w:before="0" w:after="0" w:line="360" w:lineRule="auto"/>
        <w:jc w:val="both"/>
        <w:rPr>
          <w:rFonts w:ascii="宋体" w:hAnsi="宋体" w:eastAsia="宋体" w:cs="宋体"/>
          <w:kern w:val="2"/>
          <w:sz w:val="32"/>
          <w:szCs w:val="32"/>
          <w:lang w:eastAsia="zh-CN"/>
        </w:rPr>
      </w:pPr>
    </w:p>
    <w:p>
      <w:pPr>
        <w:widowControl w:val="0"/>
        <w:spacing w:before="0" w:after="0" w:line="360" w:lineRule="auto"/>
        <w:jc w:val="both"/>
        <w:rPr>
          <w:rFonts w:hint="eastAsia" w:ascii="宋体" w:hAnsi="宋体" w:eastAsia="宋体" w:cs="宋体"/>
          <w:kern w:val="2"/>
          <w:sz w:val="32"/>
          <w:szCs w:val="32"/>
          <w:lang w:eastAsia="zh-CN"/>
        </w:rPr>
      </w:pPr>
    </w:p>
    <w:p>
      <w:pPr>
        <w:widowControl w:val="0"/>
        <w:topLinePunct/>
        <w:autoSpaceDE w:val="0"/>
        <w:autoSpaceDN w:val="0"/>
        <w:spacing w:before="0" w:after="0" w:line="360" w:lineRule="auto"/>
        <w:jc w:val="both"/>
        <w:rPr>
          <w:rFonts w:hint="eastAsia" w:ascii="宋体" w:hAnsi="宋体" w:eastAsia="宋体" w:cs="宋体"/>
          <w:sz w:val="32"/>
          <w:szCs w:val="32"/>
          <w:lang w:eastAsia="zh-CN"/>
        </w:rPr>
      </w:pPr>
    </w:p>
    <w:p>
      <w:pPr>
        <w:spacing w:before="0" w:after="0" w:line="360" w:lineRule="auto"/>
        <w:jc w:val="center"/>
        <w:rPr>
          <w:rFonts w:eastAsia="宋体"/>
        </w:rPr>
      </w:pPr>
      <w:bookmarkStart w:id="1" w:name="生成日期_currentDateTime_ym"/>
      <w:r>
        <w:rPr>
          <w:rFonts w:hint="eastAsia" w:ascii="宋体" w:hAnsi="宋体" w:eastAsia="宋体" w:cs="宋体"/>
          <w:sz w:val="36"/>
          <w:szCs w:val="36"/>
          <w:lang w:eastAsia="zh-CN"/>
        </w:rPr>
        <w:t>202</w:t>
      </w:r>
      <w:r>
        <w:rPr>
          <w:rFonts w:hint="eastAsia" w:ascii="宋体" w:hAnsi="宋体" w:eastAsia="宋体" w:cs="宋体"/>
          <w:sz w:val="36"/>
          <w:szCs w:val="36"/>
          <w:lang w:val="en-US" w:eastAsia="zh-CN"/>
        </w:rPr>
        <w:t>6</w:t>
      </w:r>
      <w:r>
        <w:rPr>
          <w:rFonts w:hint="eastAsia" w:ascii="宋体" w:hAnsi="宋体" w:eastAsia="宋体" w:cs="宋体"/>
          <w:sz w:val="36"/>
          <w:szCs w:val="36"/>
          <w:lang w:eastAsia="zh-CN"/>
        </w:rPr>
        <w:t>年07月</w:t>
      </w:r>
      <w:bookmarkEnd w:id="1"/>
    </w:p>
    <w:p>
      <w:pPr>
        <w:spacing w:before="0" w:after="0" w:line="360" w:lineRule="auto"/>
        <w:jc w:val="center"/>
        <w:rPr>
          <w:rFonts w:ascii="宋体" w:hAnsi="宋体" w:eastAsia="宋体" w:cs="宋体"/>
          <w:sz w:val="32"/>
        </w:rPr>
      </w:pPr>
      <w:r>
        <w:br w:type="page"/>
      </w:r>
      <w:r>
        <w:rPr>
          <w:rFonts w:ascii="宋体" w:hAnsi="宋体" w:eastAsia="宋体" w:cs="宋体"/>
          <w:sz w:val="32"/>
        </w:rPr>
        <w:t>目 录</w:t>
      </w:r>
    </w:p>
    <w:p>
      <w:pPr>
        <w:pStyle w:val="7"/>
        <w:tabs>
          <w:tab w:val="right" w:leader="dot" w:pos="9016"/>
        </w:tabs>
        <w:spacing w:before="0" w:after="0" w:line="360" w:lineRule="auto"/>
        <w:rPr>
          <w:rFonts w:asciiTheme="minorHAnsi" w:hAnsiTheme="minorHAnsi"/>
          <w:sz w:val="22"/>
        </w:rPr>
      </w:pPr>
      <w:r>
        <w:rPr>
          <w:rFonts w:ascii="宋体" w:hAnsi="宋体" w:eastAsia="宋体" w:cs="宋体"/>
          <w:sz w:val="32"/>
        </w:rPr>
        <w:fldChar w:fldCharType="begin"/>
      </w:r>
      <w:r>
        <w:rPr>
          <w:rFonts w:ascii="宋体" w:hAnsi="宋体" w:eastAsia="宋体" w:cs="宋体"/>
          <w:sz w:val="32"/>
        </w:rPr>
        <w:instrText xml:space="preserve">TOC \o "1-3" \h \z \u</w:instrText>
      </w:r>
      <w:r>
        <w:rPr>
          <w:rFonts w:ascii="宋体" w:hAnsi="宋体" w:eastAsia="宋体" w:cs="宋体"/>
          <w:sz w:val="32"/>
        </w:rPr>
        <w:fldChar w:fldCharType="separate"/>
      </w:r>
      <w:r>
        <w:fldChar w:fldCharType="begin"/>
      </w:r>
      <w:r>
        <w:instrText xml:space="preserve"> HYPERLINK \l "_Toc256000000" </w:instrText>
      </w:r>
      <w:r>
        <w:fldChar w:fldCharType="separate"/>
      </w:r>
      <w:r>
        <w:rPr>
          <w:rStyle w:val="11"/>
          <w:rFonts w:ascii="仿宋_GB2312" w:hAnsi="仿宋_GB2312" w:eastAsia="仿宋_GB2312" w:cs="仿宋_GB2312"/>
          <w:kern w:val="36"/>
        </w:rPr>
        <w:t>1项目概述</w:t>
      </w:r>
      <w:r>
        <w:tab/>
      </w:r>
      <w:r>
        <w:fldChar w:fldCharType="begin"/>
      </w:r>
      <w:r>
        <w:instrText xml:space="preserve"> PAGEREF _Toc256000000 \h </w:instrText>
      </w:r>
      <w:r>
        <w:fldChar w:fldCharType="separate"/>
      </w:r>
      <w:r>
        <w:t>4</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"_Toc256000001" </w:instrText>
      </w:r>
      <w:r>
        <w:fldChar w:fldCharType="separate"/>
      </w:r>
      <w:r>
        <w:rPr>
          <w:rStyle w:val="11"/>
          <w:rFonts w:ascii="仿宋_GB2312" w:hAnsi="仿宋_GB2312" w:eastAsia="仿宋_GB2312" w:cs="仿宋_GB2312"/>
        </w:rPr>
        <w:t>1.1工程说明</w:t>
      </w:r>
      <w:r>
        <w:tab/>
      </w:r>
      <w:r>
        <w:fldChar w:fldCharType="begin"/>
      </w:r>
      <w:r>
        <w:instrText xml:space="preserve"> PAGEREF _Toc256000001 \h </w:instrText>
      </w:r>
      <w:r>
        <w:fldChar w:fldCharType="separate"/>
      </w:r>
      <w:r>
        <w:t>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"_Toc256000002" </w:instrText>
      </w:r>
      <w:r>
        <w:fldChar w:fldCharType="separate"/>
      </w:r>
      <w:r>
        <w:rPr>
          <w:rStyle w:val="11"/>
          <w:rFonts w:ascii="仿宋_GB2312" w:hAnsi="仿宋_GB2312" w:eastAsia="仿宋_GB2312" w:cs="仿宋_GB2312"/>
        </w:rPr>
        <w:t>1.1.1工程概况</w:t>
      </w:r>
      <w:r>
        <w:tab/>
      </w:r>
      <w:r>
        <w:fldChar w:fldCharType="begin"/>
      </w:r>
      <w:r>
        <w:instrText xml:space="preserve"> PAGEREF _Toc256000002 \h </w:instrText>
      </w:r>
      <w:r>
        <w:fldChar w:fldCharType="separate"/>
      </w:r>
      <w:r>
        <w:t>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"_Toc256000003" </w:instrText>
      </w:r>
      <w:r>
        <w:fldChar w:fldCharType="separate"/>
      </w:r>
      <w:r>
        <w:rPr>
          <w:rStyle w:val="11"/>
          <w:rFonts w:ascii="仿宋_GB2312" w:hAnsi="仿宋_GB2312" w:eastAsia="仿宋_GB2312" w:cs="仿宋_GB2312"/>
        </w:rPr>
        <w:t>1.1.2现场条件和周围环境</w:t>
      </w:r>
      <w:r>
        <w:tab/>
      </w:r>
      <w:r>
        <w:fldChar w:fldCharType="begin"/>
      </w:r>
      <w:r>
        <w:instrText xml:space="preserve"> PAGEREF _Toc256000003 \h </w:instrText>
      </w:r>
      <w:r>
        <w:fldChar w:fldCharType="separate"/>
      </w:r>
      <w:r>
        <w:t>4</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"_Toc256000004" </w:instrText>
      </w:r>
      <w:r>
        <w:fldChar w:fldCharType="separate"/>
      </w:r>
      <w:r>
        <w:rPr>
          <w:rStyle w:val="11"/>
          <w:rFonts w:ascii="仿宋_GB2312" w:hAnsi="仿宋_GB2312" w:eastAsia="仿宋_GB2312" w:cs="仿宋_GB2312"/>
        </w:rPr>
        <w:t>1.2承包范围</w:t>
      </w:r>
      <w:r>
        <w:tab/>
      </w:r>
      <w:r>
        <w:fldChar w:fldCharType="begin"/>
      </w:r>
      <w:r>
        <w:instrText xml:space="preserve"> PAGEREF _Toc256000004 \h </w:instrText>
      </w:r>
      <w:r>
        <w:fldChar w:fldCharType="separate"/>
      </w:r>
      <w:r>
        <w:t>4</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"_Toc256000005" </w:instrText>
      </w:r>
      <w:r>
        <w:fldChar w:fldCharType="separate"/>
      </w:r>
      <w:r>
        <w:rPr>
          <w:rStyle w:val="11"/>
          <w:rFonts w:ascii="仿宋_GB2312" w:hAnsi="仿宋_GB2312" w:eastAsia="仿宋_GB2312" w:cs="仿宋_GB2312"/>
        </w:rPr>
        <w:t>1.3计划工期要求</w:t>
      </w:r>
      <w:r>
        <w:tab/>
      </w:r>
      <w:r>
        <w:fldChar w:fldCharType="begin"/>
      </w:r>
      <w:r>
        <w:instrText xml:space="preserve"> PAGEREF _Toc256000005 \h </w:instrText>
      </w:r>
      <w:r>
        <w:fldChar w:fldCharType="separate"/>
      </w:r>
      <w:r>
        <w:t>4</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"_Toc256000006" </w:instrText>
      </w:r>
      <w:r>
        <w:fldChar w:fldCharType="separate"/>
      </w:r>
      <w:r>
        <w:rPr>
          <w:rStyle w:val="11"/>
          <w:rFonts w:ascii="仿宋_GB2312" w:hAnsi="仿宋_GB2312" w:eastAsia="仿宋_GB2312" w:cs="仿宋_GB2312"/>
        </w:rPr>
        <w:t>1.4其他要求</w:t>
      </w:r>
      <w:r>
        <w:tab/>
      </w:r>
      <w:r>
        <w:fldChar w:fldCharType="begin"/>
      </w:r>
      <w:r>
        <w:instrText xml:space="preserve"> PAGEREF _Toc256000006 \h </w:instrText>
      </w:r>
      <w:r>
        <w:fldChar w:fldCharType="separate"/>
      </w:r>
      <w:r>
        <w:t>4</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"_Toc256000007" </w:instrText>
      </w:r>
      <w:r>
        <w:fldChar w:fldCharType="separate"/>
      </w:r>
      <w:r>
        <w:rPr>
          <w:rStyle w:val="11"/>
          <w:rFonts w:ascii="仿宋_GB2312" w:hAnsi="仿宋_GB2312" w:eastAsia="仿宋_GB2312" w:cs="仿宋_GB2312"/>
          <w:kern w:val="36"/>
        </w:rPr>
        <w:t>2投标/响应要求</w:t>
      </w:r>
      <w:r>
        <w:tab/>
      </w:r>
      <w:r>
        <w:fldChar w:fldCharType="begin"/>
      </w:r>
      <w:r>
        <w:instrText xml:space="preserve"> PAGEREF _Toc256000007 \h </w:instrText>
      </w:r>
      <w:r>
        <w:fldChar w:fldCharType="separate"/>
      </w:r>
      <w:r>
        <w:t>4</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"_Toc256000008" </w:instrText>
      </w:r>
      <w:r>
        <w:fldChar w:fldCharType="separate"/>
      </w:r>
      <w:r>
        <w:rPr>
          <w:rStyle w:val="11"/>
          <w:rFonts w:ascii="仿宋_GB2312" w:hAnsi="仿宋_GB2312" w:eastAsia="仿宋_GB2312" w:cs="仿宋_GB2312"/>
        </w:rPr>
        <w:t>2.1对供应商的要求</w:t>
      </w:r>
      <w:r>
        <w:tab/>
      </w:r>
      <w:r>
        <w:fldChar w:fldCharType="begin"/>
      </w:r>
      <w:r>
        <w:instrText xml:space="preserve"> PAGEREF _Toc256000008 \h </w:instrText>
      </w:r>
      <w:r>
        <w:fldChar w:fldCharType="separate"/>
      </w:r>
      <w:r>
        <w:t>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"_Toc256000009" </w:instrText>
      </w:r>
      <w:r>
        <w:fldChar w:fldCharType="separate"/>
      </w:r>
      <w:r>
        <w:rPr>
          <w:rStyle w:val="11"/>
          <w:rFonts w:ascii="仿宋_GB2312" w:hAnsi="仿宋_GB2312" w:eastAsia="仿宋_GB2312" w:cs="仿宋_GB2312"/>
        </w:rPr>
        <w:t>2.1.1必备资质</w:t>
      </w:r>
      <w:r>
        <w:tab/>
      </w:r>
      <w:r>
        <w:fldChar w:fldCharType="begin"/>
      </w:r>
      <w:r>
        <w:instrText xml:space="preserve"> PAGEREF _Toc256000009 \h </w:instrText>
      </w:r>
      <w:r>
        <w:fldChar w:fldCharType="separate"/>
      </w:r>
      <w:r>
        <w:t>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"_Toc256000010" </w:instrText>
      </w:r>
      <w:r>
        <w:fldChar w:fldCharType="separate"/>
      </w:r>
      <w:r>
        <w:rPr>
          <w:rStyle w:val="11"/>
          <w:rFonts w:ascii="仿宋_GB2312" w:hAnsi="仿宋_GB2312" w:eastAsia="仿宋_GB2312" w:cs="仿宋_GB2312"/>
        </w:rPr>
        <w:t>2.1.2优选资质/优选指标</w:t>
      </w:r>
      <w:r>
        <w:tab/>
      </w:r>
      <w:r>
        <w:fldChar w:fldCharType="begin"/>
      </w:r>
      <w:r>
        <w:instrText xml:space="preserve"> PAGEREF _Toc256000010 \h </w:instrText>
      </w:r>
      <w:r>
        <w:fldChar w:fldCharType="separate"/>
      </w:r>
      <w:r>
        <w:t>5</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"_Toc256000011" </w:instrText>
      </w:r>
      <w:r>
        <w:fldChar w:fldCharType="separate"/>
      </w:r>
      <w:r>
        <w:rPr>
          <w:rStyle w:val="11"/>
          <w:rFonts w:ascii="仿宋_GB2312" w:hAnsi="仿宋_GB2312" w:eastAsia="仿宋_GB2312" w:cs="仿宋_GB2312"/>
        </w:rPr>
        <w:t>2.1.3是否允许联合体</w:t>
      </w:r>
      <w:r>
        <w:tab/>
      </w:r>
      <w:r>
        <w:fldChar w:fldCharType="begin"/>
      </w:r>
      <w:r>
        <w:instrText xml:space="preserve"> PAGEREF _Toc256000011 \h </w:instrText>
      </w:r>
      <w:r>
        <w:fldChar w:fldCharType="separate"/>
      </w:r>
      <w:r>
        <w:t>6</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"_Toc256000012" </w:instrText>
      </w:r>
      <w:r>
        <w:fldChar w:fldCharType="separate"/>
      </w:r>
      <w:r>
        <w:rPr>
          <w:rStyle w:val="11"/>
          <w:rFonts w:ascii="仿宋_GB2312" w:hAnsi="仿宋_GB2312" w:eastAsia="仿宋_GB2312" w:cs="仿宋_GB2312"/>
        </w:rPr>
        <w:t>2.1.4是否专门面向中小企业</w:t>
      </w:r>
      <w:r>
        <w:tab/>
      </w:r>
      <w:r>
        <w:fldChar w:fldCharType="begin"/>
      </w:r>
      <w:r>
        <w:instrText xml:space="preserve"> PAGEREF _Toc256000012 \h </w:instrText>
      </w:r>
      <w:r>
        <w:fldChar w:fldCharType="separate"/>
      </w:r>
      <w:r>
        <w:t>6</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"_Toc256000013" </w:instrText>
      </w:r>
      <w:r>
        <w:fldChar w:fldCharType="separate"/>
      </w:r>
      <w:r>
        <w:rPr>
          <w:rStyle w:val="11"/>
          <w:rFonts w:ascii="仿宋_GB2312" w:hAnsi="仿宋_GB2312" w:eastAsia="仿宋_GB2312" w:cs="仿宋_GB2312"/>
        </w:rPr>
        <w:t>2.1.5其他要求</w:t>
      </w:r>
      <w:r>
        <w:tab/>
      </w:r>
      <w:r>
        <w:fldChar w:fldCharType="begin"/>
      </w:r>
      <w:r>
        <w:instrText xml:space="preserve"> PAGEREF _Toc256000013 \h </w:instrText>
      </w:r>
      <w:r>
        <w:fldChar w:fldCharType="separate"/>
      </w:r>
      <w:r>
        <w:t>6</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"_Toc256000014" </w:instrText>
      </w:r>
      <w:r>
        <w:fldChar w:fldCharType="separate"/>
      </w:r>
      <w:r>
        <w:rPr>
          <w:rStyle w:val="11"/>
          <w:rFonts w:ascii="仿宋_GB2312" w:hAnsi="仿宋_GB2312" w:eastAsia="仿宋_GB2312" w:cs="仿宋_GB2312"/>
        </w:rPr>
        <w:t>2.2技术部分投标/响应内容</w:t>
      </w:r>
      <w:r>
        <w:tab/>
      </w:r>
      <w:r>
        <w:fldChar w:fldCharType="begin"/>
      </w:r>
      <w:r>
        <w:instrText xml:space="preserve"> PAGEREF _Toc256000014 \h </w:instrText>
      </w:r>
      <w:r>
        <w:fldChar w:fldCharType="separate"/>
      </w:r>
      <w:r>
        <w:t>6</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"_Toc256000015" </w:instrText>
      </w:r>
      <w:r>
        <w:fldChar w:fldCharType="separate"/>
      </w:r>
      <w:r>
        <w:rPr>
          <w:rStyle w:val="11"/>
          <w:rFonts w:ascii="仿宋_GB2312" w:hAnsi="仿宋_GB2312" w:eastAsia="仿宋_GB2312" w:cs="仿宋_GB2312"/>
        </w:rPr>
        <w:t>2.2.1技术投标/响应总要求</w:t>
      </w:r>
      <w:r>
        <w:tab/>
      </w:r>
      <w:r>
        <w:fldChar w:fldCharType="begin"/>
      </w:r>
      <w:r>
        <w:instrText xml:space="preserve"> PAGEREF _Toc256000015 \h </w:instrText>
      </w:r>
      <w:r>
        <w:fldChar w:fldCharType="separate"/>
      </w:r>
      <w:r>
        <w:t>6</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"_Toc256000016" </w:instrText>
      </w:r>
      <w:r>
        <w:fldChar w:fldCharType="separate"/>
      </w:r>
      <w:r>
        <w:rPr>
          <w:rStyle w:val="11"/>
          <w:rFonts w:ascii="仿宋_GB2312" w:hAnsi="仿宋_GB2312" w:eastAsia="仿宋_GB2312" w:cs="仿宋_GB2312"/>
        </w:rPr>
        <w:t>2.2.2投标/响应方案要求</w:t>
      </w:r>
      <w:r>
        <w:tab/>
      </w:r>
      <w:r>
        <w:fldChar w:fldCharType="begin"/>
      </w:r>
      <w:r>
        <w:instrText xml:space="preserve"> PAGEREF _Toc256000016 \h </w:instrText>
      </w:r>
      <w:r>
        <w:fldChar w:fldCharType="separate"/>
      </w:r>
      <w:r>
        <w:t>6</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"_Toc256000017" </w:instrText>
      </w:r>
      <w:r>
        <w:fldChar w:fldCharType="separate"/>
      </w:r>
      <w:r>
        <w:rPr>
          <w:rStyle w:val="11"/>
          <w:rFonts w:ascii="仿宋_GB2312" w:hAnsi="仿宋_GB2312" w:eastAsia="仿宋_GB2312" w:cs="仿宋_GB2312"/>
          <w:kern w:val="36"/>
        </w:rPr>
        <w:t>3项目需求</w:t>
      </w:r>
      <w:r>
        <w:tab/>
      </w:r>
      <w:r>
        <w:fldChar w:fldCharType="begin"/>
      </w:r>
      <w:r>
        <w:instrText xml:space="preserve"> PAGEREF _Toc256000017 \h </w:instrText>
      </w:r>
      <w:r>
        <w:fldChar w:fldCharType="separate"/>
      </w:r>
      <w:r>
        <w:t>7</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"_Toc256000018" </w:instrText>
      </w:r>
      <w:r>
        <w:fldChar w:fldCharType="separate"/>
      </w:r>
      <w:r>
        <w:rPr>
          <w:rStyle w:val="11"/>
          <w:rFonts w:ascii="仿宋_GB2312" w:hAnsi="仿宋_GB2312" w:eastAsia="仿宋_GB2312" w:cs="仿宋_GB2312"/>
        </w:rPr>
        <w:t>3.1建设内容</w:t>
      </w:r>
      <w:r>
        <w:tab/>
      </w:r>
      <w:r>
        <w:fldChar w:fldCharType="begin"/>
      </w:r>
      <w:r>
        <w:instrText xml:space="preserve"> PAGEREF _Toc256000018 \h </w:instrText>
      </w:r>
      <w:r>
        <w:fldChar w:fldCharType="separate"/>
      </w:r>
      <w:r>
        <w:t>7</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"_Toc256000019" </w:instrText>
      </w:r>
      <w:r>
        <w:fldChar w:fldCharType="separate"/>
      </w:r>
      <w:r>
        <w:rPr>
          <w:rStyle w:val="11"/>
          <w:rFonts w:ascii="仿宋_GB2312" w:hAnsi="仿宋_GB2312" w:eastAsia="仿宋_GB2312" w:cs="仿宋_GB2312"/>
        </w:rPr>
        <w:t>3.2技术标准和要求</w:t>
      </w:r>
      <w:r>
        <w:tab/>
      </w:r>
      <w:r>
        <w:fldChar w:fldCharType="begin"/>
      </w:r>
      <w:r>
        <w:instrText xml:space="preserve"> PAGEREF _Toc256000019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"_Toc256000020" </w:instrText>
      </w:r>
      <w:r>
        <w:fldChar w:fldCharType="separate"/>
      </w:r>
      <w:r>
        <w:rPr>
          <w:rStyle w:val="11"/>
          <w:rFonts w:ascii="仿宋_GB2312" w:hAnsi="仿宋_GB2312" w:eastAsia="仿宋_GB2312" w:cs="仿宋_GB2312"/>
        </w:rPr>
        <w:t>3.2.1质量要求</w:t>
      </w:r>
      <w:r>
        <w:tab/>
      </w:r>
      <w:r>
        <w:fldChar w:fldCharType="begin"/>
      </w:r>
      <w:r>
        <w:instrText xml:space="preserve"> PAGEREF _Toc256000020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"_Toc256000021" </w:instrText>
      </w:r>
      <w:r>
        <w:fldChar w:fldCharType="separate"/>
      </w:r>
      <w:r>
        <w:rPr>
          <w:rStyle w:val="11"/>
          <w:rFonts w:ascii="仿宋_GB2312" w:hAnsi="仿宋_GB2312" w:eastAsia="仿宋_GB2312" w:cs="仿宋_GB2312"/>
        </w:rPr>
        <w:t>3.2.2适用规范和标准</w:t>
      </w:r>
      <w:r>
        <w:tab/>
      </w:r>
      <w:r>
        <w:fldChar w:fldCharType="begin"/>
      </w:r>
      <w:r>
        <w:instrText xml:space="preserve"> PAGEREF _Toc256000021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"_Toc256000022" </w:instrText>
      </w:r>
      <w:r>
        <w:fldChar w:fldCharType="separate"/>
      </w:r>
      <w:r>
        <w:rPr>
          <w:rStyle w:val="11"/>
          <w:rFonts w:ascii="仿宋_GB2312" w:hAnsi="仿宋_GB2312" w:eastAsia="仿宋_GB2312" w:cs="仿宋_GB2312"/>
        </w:rPr>
        <w:t>3.2.3安全文明施工</w:t>
      </w:r>
      <w:r>
        <w:tab/>
      </w:r>
      <w:r>
        <w:fldChar w:fldCharType="begin"/>
      </w:r>
      <w:r>
        <w:instrText xml:space="preserve"> PAGEREF _Toc256000022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"_Toc256000023" </w:instrText>
      </w:r>
      <w:r>
        <w:fldChar w:fldCharType="separate"/>
      </w:r>
      <w:r>
        <w:rPr>
          <w:rStyle w:val="11"/>
          <w:rFonts w:ascii="仿宋_GB2312" w:hAnsi="仿宋_GB2312" w:eastAsia="仿宋_GB2312" w:cs="仿宋_GB2312"/>
        </w:rPr>
        <w:t>3.2.4治安保卫</w:t>
      </w:r>
      <w:r>
        <w:tab/>
      </w:r>
      <w:r>
        <w:fldChar w:fldCharType="begin"/>
      </w:r>
      <w:r>
        <w:instrText xml:space="preserve"> PAGEREF _Toc256000023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"_Toc256000024" </w:instrText>
      </w:r>
      <w:r>
        <w:fldChar w:fldCharType="separate"/>
      </w:r>
      <w:r>
        <w:rPr>
          <w:rStyle w:val="11"/>
          <w:rFonts w:ascii="仿宋_GB2312" w:hAnsi="仿宋_GB2312" w:eastAsia="仿宋_GB2312" w:cs="仿宋_GB2312"/>
        </w:rPr>
        <w:t>3.2.5地上、地下设施和周边建筑物的临时保护</w:t>
      </w:r>
      <w:r>
        <w:tab/>
      </w:r>
      <w:r>
        <w:fldChar w:fldCharType="begin"/>
      </w:r>
      <w:r>
        <w:instrText xml:space="preserve"> PAGEREF _Toc256000024 \h </w:instrText>
      </w:r>
      <w:r>
        <w:fldChar w:fldCharType="separate"/>
      </w:r>
      <w:r>
        <w:t>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"_Toc256000025" </w:instrText>
      </w:r>
      <w:r>
        <w:fldChar w:fldCharType="separate"/>
      </w:r>
      <w:r>
        <w:rPr>
          <w:rStyle w:val="11"/>
          <w:rFonts w:ascii="仿宋_GB2312" w:hAnsi="仿宋_GB2312" w:eastAsia="仿宋_GB2312" w:cs="仿宋_GB2312"/>
        </w:rPr>
        <w:t>3.2.6样品和材料代换</w:t>
      </w:r>
      <w:r>
        <w:tab/>
      </w:r>
      <w:r>
        <w:fldChar w:fldCharType="begin"/>
      </w:r>
      <w:r>
        <w:instrText xml:space="preserve"> PAGEREF _Toc256000025 \h </w:instrText>
      </w:r>
      <w:r>
        <w:fldChar w:fldCharType="separate"/>
      </w:r>
      <w:r>
        <w:t>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"_Toc256000026" </w:instrText>
      </w:r>
      <w:r>
        <w:fldChar w:fldCharType="separate"/>
      </w:r>
      <w:r>
        <w:rPr>
          <w:rStyle w:val="11"/>
          <w:rFonts w:ascii="仿宋_GB2312" w:hAnsi="仿宋_GB2312" w:eastAsia="仿宋_GB2312" w:cs="仿宋_GB2312"/>
        </w:rPr>
        <w:t>3.2.7特殊技术标准和要求</w:t>
      </w:r>
      <w:r>
        <w:tab/>
      </w:r>
      <w:r>
        <w:fldChar w:fldCharType="begin"/>
      </w:r>
      <w:r>
        <w:instrText xml:space="preserve"> PAGEREF _Toc256000026 \h </w:instrText>
      </w:r>
      <w:r>
        <w:fldChar w:fldCharType="separate"/>
      </w:r>
      <w:r>
        <w:t>9</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"_Toc256000027" </w:instrText>
      </w:r>
      <w:r>
        <w:fldChar w:fldCharType="separate"/>
      </w:r>
      <w:r>
        <w:rPr>
          <w:rStyle w:val="11"/>
          <w:rFonts w:ascii="仿宋_GB2312" w:hAnsi="仿宋_GB2312" w:eastAsia="仿宋_GB2312" w:cs="仿宋_GB2312"/>
        </w:rPr>
        <w:t>3.2.8进度报告和进度例会</w:t>
      </w:r>
      <w:r>
        <w:tab/>
      </w:r>
      <w:r>
        <w:fldChar w:fldCharType="begin"/>
      </w:r>
      <w:r>
        <w:instrText xml:space="preserve"> PAGEREF _Toc256000027 \h </w:instrText>
      </w:r>
      <w:r>
        <w:fldChar w:fldCharType="separate"/>
      </w:r>
      <w:r>
        <w:t>9</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"_Toc256000028" </w:instrText>
      </w:r>
      <w:r>
        <w:fldChar w:fldCharType="separate"/>
      </w:r>
      <w:r>
        <w:rPr>
          <w:rStyle w:val="11"/>
          <w:rFonts w:ascii="仿宋_GB2312" w:hAnsi="仿宋_GB2312" w:eastAsia="仿宋_GB2312" w:cs="仿宋_GB2312"/>
        </w:rPr>
        <w:t>3.2.9试验和检验</w:t>
      </w:r>
      <w:r>
        <w:tab/>
      </w:r>
      <w:r>
        <w:fldChar w:fldCharType="begin"/>
      </w:r>
      <w:r>
        <w:instrText xml:space="preserve"> PAGEREF _Toc256000028 \h </w:instrText>
      </w:r>
      <w:r>
        <w:fldChar w:fldCharType="separate"/>
      </w:r>
      <w:r>
        <w:t>9</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"_Toc256000029" </w:instrText>
      </w:r>
      <w:r>
        <w:fldChar w:fldCharType="separate"/>
      </w:r>
      <w:r>
        <w:rPr>
          <w:rStyle w:val="11"/>
          <w:rFonts w:ascii="仿宋_GB2312" w:hAnsi="仿宋_GB2312" w:eastAsia="仿宋_GB2312" w:cs="仿宋_GB2312"/>
        </w:rPr>
        <w:t>3.3工程量清单和图纸</w:t>
      </w:r>
      <w:r>
        <w:tab/>
      </w:r>
      <w:r>
        <w:fldChar w:fldCharType="begin"/>
      </w:r>
      <w:r>
        <w:instrText xml:space="preserve"> PAGEREF _Toc256000029 \h </w:instrText>
      </w:r>
      <w:r>
        <w:fldChar w:fldCharType="separate"/>
      </w:r>
      <w:r>
        <w:t>10</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"_Toc256000030" </w:instrText>
      </w:r>
      <w:r>
        <w:fldChar w:fldCharType="separate"/>
      </w:r>
      <w:r>
        <w:rPr>
          <w:rStyle w:val="11"/>
          <w:rFonts w:ascii="仿宋_GB2312" w:hAnsi="仿宋_GB2312" w:eastAsia="仿宋_GB2312" w:cs="仿宋_GB2312"/>
        </w:rPr>
        <w:t>3.4其他要求</w:t>
      </w:r>
      <w:r>
        <w:tab/>
      </w:r>
      <w:r>
        <w:fldChar w:fldCharType="begin"/>
      </w:r>
      <w:r>
        <w:instrText xml:space="preserve"> PAGEREF _Toc256000030 \h </w:instrText>
      </w:r>
      <w:r>
        <w:fldChar w:fldCharType="separate"/>
      </w:r>
      <w:r>
        <w:t>11</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"_Toc256000031" </w:instrText>
      </w:r>
      <w:r>
        <w:fldChar w:fldCharType="separate"/>
      </w:r>
      <w:r>
        <w:rPr>
          <w:rStyle w:val="11"/>
          <w:rFonts w:ascii="仿宋_GB2312" w:hAnsi="仿宋_GB2312" w:eastAsia="仿宋_GB2312" w:cs="仿宋_GB2312"/>
          <w:kern w:val="36"/>
        </w:rPr>
        <w:t>4人员要求</w:t>
      </w:r>
      <w:r>
        <w:tab/>
      </w:r>
      <w:r>
        <w:fldChar w:fldCharType="begin"/>
      </w:r>
      <w:r>
        <w:instrText xml:space="preserve"> PAGEREF _Toc256000031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"_Toc256000032" </w:instrText>
      </w:r>
      <w:r>
        <w:fldChar w:fldCharType="separate"/>
      </w:r>
      <w:r>
        <w:rPr>
          <w:rStyle w:val="11"/>
          <w:rFonts w:ascii="仿宋_GB2312" w:hAnsi="仿宋_GB2312" w:eastAsia="仿宋_GB2312" w:cs="仿宋_GB2312"/>
        </w:rPr>
        <w:t>4.1团队要求</w:t>
      </w:r>
      <w:r>
        <w:tab/>
      </w:r>
      <w:r>
        <w:fldChar w:fldCharType="begin"/>
      </w:r>
      <w:r>
        <w:instrText xml:space="preserve"> PAGEREF _Toc256000032 \h </w:instrText>
      </w:r>
      <w:r>
        <w:fldChar w:fldCharType="separate"/>
      </w:r>
      <w:r>
        <w:t>11</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"_Toc256000033" </w:instrText>
      </w:r>
      <w:r>
        <w:fldChar w:fldCharType="separate"/>
      </w:r>
      <w:r>
        <w:rPr>
          <w:rStyle w:val="11"/>
          <w:rFonts w:ascii="仿宋_GB2312" w:hAnsi="仿宋_GB2312" w:eastAsia="仿宋_GB2312" w:cs="仿宋_GB2312"/>
        </w:rPr>
        <w:t>4.1.1项目经理要求</w:t>
      </w:r>
      <w:r>
        <w:tab/>
      </w:r>
      <w:r>
        <w:fldChar w:fldCharType="begin"/>
      </w:r>
      <w:r>
        <w:instrText xml:space="preserve"> PAGEREF _Toc256000033 \h </w:instrText>
      </w:r>
      <w:r>
        <w:fldChar w:fldCharType="separate"/>
      </w:r>
      <w:r>
        <w:t>11</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"_Toc256000034" </w:instrText>
      </w:r>
      <w:r>
        <w:fldChar w:fldCharType="separate"/>
      </w:r>
      <w:r>
        <w:rPr>
          <w:rStyle w:val="11"/>
          <w:rFonts w:ascii="仿宋_GB2312" w:hAnsi="仿宋_GB2312" w:eastAsia="仿宋_GB2312" w:cs="仿宋_GB2312"/>
        </w:rPr>
        <w:t>4.1.2其他要求</w:t>
      </w:r>
      <w:r>
        <w:tab/>
      </w:r>
      <w:r>
        <w:fldChar w:fldCharType="begin"/>
      </w:r>
      <w:r>
        <w:instrText xml:space="preserve"> PAGEREF _Toc256000034 \h </w:instrText>
      </w:r>
      <w:r>
        <w:fldChar w:fldCharType="separate"/>
      </w:r>
      <w:r>
        <w:t>11</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"_Toc256000035" </w:instrText>
      </w:r>
      <w:r>
        <w:fldChar w:fldCharType="separate"/>
      </w:r>
      <w:r>
        <w:rPr>
          <w:rStyle w:val="11"/>
          <w:rFonts w:ascii="仿宋_GB2312" w:hAnsi="仿宋_GB2312" w:eastAsia="仿宋_GB2312" w:cs="仿宋_GB2312"/>
        </w:rPr>
        <w:t>4.1.3优选资质/优选指标</w:t>
      </w:r>
      <w:r>
        <w:tab/>
      </w:r>
      <w:r>
        <w:fldChar w:fldCharType="begin"/>
      </w:r>
      <w:r>
        <w:instrText xml:space="preserve"> PAGEREF _Toc256000035 \h </w:instrText>
      </w:r>
      <w:r>
        <w:fldChar w:fldCharType="separate"/>
      </w:r>
      <w:r>
        <w:t>11</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"_Toc256000036" </w:instrText>
      </w:r>
      <w:r>
        <w:fldChar w:fldCharType="separate"/>
      </w:r>
      <w:r>
        <w:rPr>
          <w:rStyle w:val="11"/>
          <w:rFonts w:ascii="仿宋_GB2312" w:hAnsi="仿宋_GB2312" w:eastAsia="仿宋_GB2312" w:cs="仿宋_GB2312"/>
          <w:kern w:val="36"/>
        </w:rPr>
        <w:t>5竣工验收要求</w:t>
      </w:r>
      <w:r>
        <w:tab/>
      </w:r>
      <w:r>
        <w:fldChar w:fldCharType="begin"/>
      </w:r>
      <w:r>
        <w:instrText xml:space="preserve"> PAGEREF _Toc256000036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"_Toc256000037" </w:instrText>
      </w:r>
      <w:r>
        <w:fldChar w:fldCharType="separate"/>
      </w:r>
      <w:r>
        <w:rPr>
          <w:rStyle w:val="11"/>
          <w:rFonts w:ascii="仿宋_GB2312" w:hAnsi="仿宋_GB2312" w:eastAsia="仿宋_GB2312" w:cs="仿宋_GB2312"/>
        </w:rPr>
        <w:t>5.1总体要求</w:t>
      </w:r>
      <w:r>
        <w:tab/>
      </w:r>
      <w:r>
        <w:fldChar w:fldCharType="begin"/>
      </w:r>
      <w:r>
        <w:instrText xml:space="preserve"> PAGEREF _Toc256000037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"_Toc256000038" </w:instrText>
      </w:r>
      <w:r>
        <w:fldChar w:fldCharType="separate"/>
      </w:r>
      <w:r>
        <w:rPr>
          <w:rStyle w:val="11"/>
          <w:rFonts w:ascii="仿宋_GB2312" w:hAnsi="仿宋_GB2312" w:eastAsia="仿宋_GB2312" w:cs="仿宋_GB2312"/>
        </w:rPr>
        <w:t>5.2具体要求</w:t>
      </w:r>
      <w:r>
        <w:tab/>
      </w:r>
      <w:r>
        <w:fldChar w:fldCharType="begin"/>
      </w:r>
      <w:r>
        <w:instrText xml:space="preserve"> PAGEREF _Toc256000038 \h </w:instrText>
      </w:r>
      <w:r>
        <w:fldChar w:fldCharType="separate"/>
      </w:r>
      <w:r>
        <w:t>11</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"_Toc256000039" </w:instrText>
      </w:r>
      <w:r>
        <w:fldChar w:fldCharType="separate"/>
      </w:r>
      <w:r>
        <w:rPr>
          <w:rStyle w:val="11"/>
          <w:rFonts w:ascii="仿宋_GB2312" w:hAnsi="仿宋_GB2312" w:eastAsia="仿宋_GB2312" w:cs="仿宋_GB2312"/>
          <w:kern w:val="36"/>
        </w:rPr>
        <w:t>6其他要求</w:t>
      </w:r>
      <w:r>
        <w:tab/>
      </w:r>
      <w:r>
        <w:fldChar w:fldCharType="begin"/>
      </w:r>
      <w:r>
        <w:instrText xml:space="preserve"> PAGEREF _Toc256000039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"_Toc256000040" </w:instrText>
      </w:r>
      <w:r>
        <w:fldChar w:fldCharType="separate"/>
      </w:r>
      <w:r>
        <w:rPr>
          <w:rStyle w:val="11"/>
          <w:rFonts w:ascii="仿宋_GB2312" w:hAnsi="仿宋_GB2312" w:eastAsia="仿宋_GB2312" w:cs="仿宋_GB2312"/>
        </w:rPr>
        <w:t>6.1保修责任</w:t>
      </w:r>
      <w:r>
        <w:tab/>
      </w:r>
      <w:r>
        <w:fldChar w:fldCharType="begin"/>
      </w:r>
      <w:r>
        <w:instrText xml:space="preserve"> PAGEREF _Toc256000040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"_Toc256000041" </w:instrText>
      </w:r>
      <w:r>
        <w:fldChar w:fldCharType="separate"/>
      </w:r>
      <w:r>
        <w:rPr>
          <w:rStyle w:val="11"/>
          <w:rFonts w:ascii="仿宋_GB2312" w:hAnsi="仿宋_GB2312" w:eastAsia="仿宋_GB2312" w:cs="仿宋_GB2312"/>
        </w:rPr>
        <w:t>6.2付款安排</w:t>
      </w:r>
      <w:r>
        <w:tab/>
      </w:r>
      <w:r>
        <w:fldChar w:fldCharType="begin"/>
      </w:r>
      <w:r>
        <w:instrText xml:space="preserve"> PAGEREF _Toc256000041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"_Toc256000042" </w:instrText>
      </w:r>
      <w:r>
        <w:fldChar w:fldCharType="separate"/>
      </w:r>
      <w:r>
        <w:rPr>
          <w:rStyle w:val="11"/>
          <w:rFonts w:ascii="仿宋_GB2312" w:hAnsi="仿宋_GB2312" w:eastAsia="仿宋_GB2312" w:cs="仿宋_GB2312"/>
        </w:rPr>
        <w:t>6.3其他要求</w:t>
      </w:r>
      <w:r>
        <w:tab/>
      </w:r>
      <w:r>
        <w:fldChar w:fldCharType="begin"/>
      </w:r>
      <w:r>
        <w:instrText xml:space="preserve"> PAGEREF _Toc256000042 \h </w:instrText>
      </w:r>
      <w:r>
        <w:fldChar w:fldCharType="separate"/>
      </w:r>
      <w:r>
        <w:t>12</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"_Toc256000043" </w:instrText>
      </w:r>
      <w:r>
        <w:fldChar w:fldCharType="separate"/>
      </w:r>
      <w:r>
        <w:rPr>
          <w:rStyle w:val="11"/>
          <w:rFonts w:ascii="仿宋_GB2312" w:hAnsi="仿宋_GB2312" w:eastAsia="仿宋_GB2312" w:cs="仿宋_GB2312"/>
        </w:rPr>
        <w:t>6.3.1保密要求</w:t>
      </w:r>
      <w:r>
        <w:tab/>
      </w:r>
      <w:r>
        <w:fldChar w:fldCharType="begin"/>
      </w:r>
      <w:r>
        <w:instrText xml:space="preserve"> PAGEREF _Toc256000043 \h </w:instrText>
      </w:r>
      <w:r>
        <w:fldChar w:fldCharType="separate"/>
      </w:r>
      <w:r>
        <w:t>12</w:t>
      </w:r>
      <w:r>
        <w:fldChar w:fldCharType="end"/>
      </w:r>
      <w:r>
        <w:fldChar w:fldCharType="end"/>
      </w:r>
    </w:p>
    <w:p>
      <w:pPr>
        <w:spacing w:before="0" w:after="0" w:line="360" w:lineRule="auto"/>
        <w:jc w:val="left"/>
      </w:pPr>
      <w:r>
        <w:rPr>
          <w:rFonts w:ascii="宋体" w:hAnsi="宋体" w:eastAsia="宋体" w:cs="宋体"/>
          <w:sz w:val="32"/>
        </w:rPr>
        <w:fldChar w:fldCharType="end"/>
      </w:r>
      <w:r>
        <w:br w:type="page"/>
      </w:r>
    </w:p>
    <w:p>
      <w:pPr>
        <w:pStyle w:val="2"/>
        <w:keepNext w:val="0"/>
        <w:spacing w:before="0" w:after="0" w:line="360" w:lineRule="auto"/>
        <w:jc w:val="center"/>
        <w:rPr>
          <w:rFonts w:ascii="仿宋_GB2312" w:hAnsi="仿宋_GB2312" w:eastAsia="仿宋_GB2312" w:cs="仿宋_GB2312"/>
          <w:b/>
          <w:bCs/>
          <w:sz w:val="32"/>
          <w:szCs w:val="32"/>
        </w:rPr>
      </w:pPr>
      <w:bookmarkStart w:id="2" w:name="_Toc256000000"/>
      <w:r>
        <w:rPr>
          <w:rFonts w:ascii="仿宋_GB2312" w:hAnsi="仿宋_GB2312" w:eastAsia="仿宋_GB2312" w:cs="仿宋_GB2312"/>
          <w:kern w:val="36"/>
        </w:rPr>
        <w:t>1项目概述</w:t>
      </w:r>
      <w:bookmarkEnd w:id="2"/>
    </w:p>
    <w:p>
      <w:pPr>
        <w:pStyle w:val="3"/>
        <w:keepNext w:val="0"/>
        <w:spacing w:before="0" w:after="0" w:line="360" w:lineRule="auto"/>
        <w:rPr>
          <w:rFonts w:ascii="仿宋_GB2312" w:hAnsi="仿宋_GB2312" w:eastAsia="仿宋_GB2312" w:cs="仿宋_GB2312"/>
          <w:b/>
          <w:bCs/>
          <w:sz w:val="28"/>
          <w:szCs w:val="28"/>
        </w:rPr>
      </w:pPr>
      <w:bookmarkStart w:id="3" w:name="_Toc256000001"/>
      <w:r>
        <w:rPr>
          <w:rFonts w:ascii="仿宋_GB2312" w:hAnsi="仿宋_GB2312" w:eastAsia="仿宋_GB2312" w:cs="仿宋_GB2312"/>
          <w:i w:val="0"/>
          <w:iCs w:val="0"/>
        </w:rPr>
        <w:t>1.1工程说明</w:t>
      </w:r>
      <w:bookmarkEnd w:id="3"/>
    </w:p>
    <w:p>
      <w:pPr>
        <w:pStyle w:val="4"/>
        <w:keepNext w:val="0"/>
        <w:spacing w:before="0" w:after="0" w:line="360" w:lineRule="auto"/>
        <w:rPr>
          <w:rFonts w:ascii="仿宋_GB2312" w:hAnsi="仿宋_GB2312" w:eastAsia="仿宋_GB2312" w:cs="仿宋_GB2312"/>
          <w:b/>
          <w:bCs/>
          <w:sz w:val="28"/>
          <w:szCs w:val="28"/>
        </w:rPr>
      </w:pPr>
      <w:bookmarkStart w:id="4" w:name="_Toc256000002"/>
      <w:r>
        <w:rPr>
          <w:rFonts w:ascii="仿宋_GB2312" w:hAnsi="仿宋_GB2312" w:eastAsia="仿宋_GB2312" w:cs="仿宋_GB2312"/>
          <w:sz w:val="28"/>
          <w:szCs w:val="28"/>
        </w:rPr>
        <w:t>1.1.1工程概况</w:t>
      </w:r>
      <w:bookmarkEnd w:id="4"/>
    </w:p>
    <w:p>
      <w:pPr>
        <w:spacing w:before="0" w:after="0" w:line="360" w:lineRule="auto"/>
        <w:ind w:firstLine="480"/>
        <w:rPr>
          <w:rFonts w:ascii="宋体" w:hAnsi="宋体" w:eastAsia="宋体" w:cs="宋体"/>
          <w:sz w:val="24"/>
          <w:szCs w:val="24"/>
        </w:rPr>
      </w:pPr>
      <w:r>
        <w:rPr>
          <w:rFonts w:ascii="FangSong_GB2312" w:hAnsi="FangSong_GB2312" w:eastAsia="FangSong_GB2312" w:cs="FangSong_GB2312"/>
          <w:sz w:val="28"/>
          <w:szCs w:val="28"/>
        </w:rPr>
        <w:t>国家税务总局达尔罕茂明安联合旗税务局百灵庙镇税务所综合业务办公用房维修改造项目。主要进行百灵庙镇税务所综合业务办公用房的</w:t>
      </w:r>
      <w:r>
        <w:rPr>
          <w:rFonts w:hint="eastAsia" w:ascii="FangSong_GB2312" w:hAnsi="FangSong_GB2312" w:eastAsia="FangSong_GB2312" w:cs="FangSong_GB2312"/>
          <w:sz w:val="28"/>
          <w:szCs w:val="28"/>
          <w:lang w:eastAsia="zh-CN"/>
        </w:rPr>
        <w:t>维</w:t>
      </w:r>
      <w:r>
        <w:rPr>
          <w:rFonts w:ascii="FangSong_GB2312" w:hAnsi="FangSong_GB2312" w:eastAsia="FangSong_GB2312" w:cs="FangSong_GB2312"/>
          <w:sz w:val="28"/>
          <w:szCs w:val="28"/>
        </w:rPr>
        <w:t>护、建筑装饰装修、给水排水、供暖、电气、建筑消防等系统维修</w:t>
      </w:r>
      <w:r>
        <w:rPr>
          <w:rFonts w:hint="eastAsia" w:ascii="FangSong_GB2312" w:hAnsi="FangSong_GB2312" w:eastAsia="FangSong_GB2312" w:cs="FangSong_GB2312"/>
          <w:sz w:val="28"/>
          <w:szCs w:val="28"/>
          <w:lang w:eastAsia="zh-CN"/>
        </w:rPr>
        <w:t>及危房改造</w:t>
      </w:r>
      <w:r>
        <w:rPr>
          <w:rFonts w:ascii="FangSong_GB2312" w:hAnsi="FangSong_GB2312" w:eastAsia="FangSong_GB2312" w:cs="FangSong_GB2312"/>
          <w:sz w:val="28"/>
          <w:szCs w:val="28"/>
        </w:rPr>
        <w:t>。</w:t>
      </w:r>
      <w:bookmarkStart w:id="5" w:name="_Toc256000003"/>
    </w:p>
    <w:p>
      <w:pPr>
        <w:spacing w:before="0" w:after="0" w:line="360" w:lineRule="auto"/>
        <w:rPr>
          <w:rFonts w:ascii="仿宋_GB2312" w:hAnsi="仿宋_GB2312" w:eastAsia="仿宋_GB2312" w:cs="仿宋_GB2312"/>
          <w:b/>
          <w:bCs/>
          <w:i w:val="0"/>
          <w:iCs w:val="0"/>
          <w:sz w:val="28"/>
          <w:szCs w:val="28"/>
          <w:lang w:val="en-US" w:eastAsia="en-US" w:bidi="ar-SA"/>
        </w:rPr>
      </w:pPr>
      <w:r>
        <w:rPr>
          <w:rFonts w:ascii="仿宋_GB2312" w:hAnsi="仿宋_GB2312" w:eastAsia="仿宋_GB2312" w:cs="仿宋_GB2312"/>
          <w:b/>
          <w:bCs/>
          <w:i w:val="0"/>
          <w:iCs w:val="0"/>
          <w:sz w:val="28"/>
          <w:szCs w:val="28"/>
          <w:lang w:val="en-US" w:eastAsia="en-US" w:bidi="ar-SA"/>
        </w:rPr>
        <w:t>1.1.2现场条件和周围环境</w:t>
      </w:r>
      <w:bookmarkEnd w:id="5"/>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具备施工用水、电力、通讯线路、交通等施工所必需的条件。</w:t>
      </w:r>
    </w:p>
    <w:p>
      <w:pPr>
        <w:pStyle w:val="3"/>
        <w:keepNext w:val="0"/>
        <w:spacing w:before="0" w:after="0" w:line="360" w:lineRule="auto"/>
        <w:rPr>
          <w:rFonts w:ascii="仿宋_GB2312" w:hAnsi="仿宋_GB2312" w:eastAsia="仿宋_GB2312" w:cs="仿宋_GB2312"/>
          <w:b/>
          <w:bCs/>
          <w:sz w:val="28"/>
          <w:szCs w:val="28"/>
        </w:rPr>
      </w:pPr>
      <w:bookmarkStart w:id="6" w:name="_Toc256000004"/>
      <w:r>
        <w:rPr>
          <w:rFonts w:ascii="仿宋_GB2312" w:hAnsi="仿宋_GB2312" w:eastAsia="仿宋_GB2312" w:cs="仿宋_GB2312"/>
          <w:i w:val="0"/>
          <w:iCs w:val="0"/>
        </w:rPr>
        <w:t>1.2承包范围</w:t>
      </w:r>
      <w:bookmarkEnd w:id="6"/>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国家税务总局达尔罕茂明安联合旗税务局百灵庙镇税务所综合业务办公用房（详见工程量清单及图纸）。</w:t>
      </w:r>
    </w:p>
    <w:p>
      <w:pPr>
        <w:pStyle w:val="3"/>
        <w:keepNext w:val="0"/>
        <w:spacing w:before="0" w:after="0" w:line="360" w:lineRule="auto"/>
        <w:rPr>
          <w:rFonts w:ascii="仿宋_GB2312" w:hAnsi="仿宋_GB2312" w:eastAsia="仿宋_GB2312" w:cs="仿宋_GB2312"/>
          <w:b/>
          <w:bCs/>
          <w:sz w:val="28"/>
          <w:szCs w:val="28"/>
        </w:rPr>
      </w:pPr>
      <w:bookmarkStart w:id="7" w:name="_Toc256000005"/>
      <w:r>
        <w:rPr>
          <w:rFonts w:ascii="仿宋_GB2312" w:hAnsi="仿宋_GB2312" w:eastAsia="仿宋_GB2312" w:cs="仿宋_GB2312"/>
          <w:i w:val="0"/>
          <w:iCs w:val="0"/>
        </w:rPr>
        <w:t>1.3计划工期要求</w:t>
      </w:r>
      <w:bookmarkEnd w:id="7"/>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9</w:t>
      </w:r>
      <w:r>
        <w:rPr>
          <w:rFonts w:hint="eastAsia" w:ascii="FangSong_GB2312" w:hAnsi="FangSong_GB2312" w:eastAsia="FangSong_GB2312" w:cs="FangSong_GB2312"/>
          <w:sz w:val="28"/>
          <w:szCs w:val="28"/>
          <w:lang w:val="en-US" w:eastAsia="zh-CN"/>
        </w:rPr>
        <w:t>1</w:t>
      </w:r>
      <w:r>
        <w:rPr>
          <w:rFonts w:ascii="FangSong_GB2312" w:hAnsi="FangSong_GB2312" w:eastAsia="FangSong_GB2312" w:cs="FangSong_GB2312"/>
          <w:sz w:val="28"/>
          <w:szCs w:val="28"/>
        </w:rPr>
        <w:t>日历天。</w:t>
      </w:r>
    </w:p>
    <w:p>
      <w:pPr>
        <w:pStyle w:val="3"/>
        <w:keepNext w:val="0"/>
        <w:spacing w:before="0" w:after="0" w:line="360" w:lineRule="auto"/>
        <w:rPr>
          <w:rFonts w:ascii="仿宋_GB2312" w:hAnsi="仿宋_GB2312" w:eastAsia="仿宋_GB2312" w:cs="仿宋_GB2312"/>
          <w:b/>
          <w:bCs/>
          <w:sz w:val="28"/>
          <w:szCs w:val="28"/>
        </w:rPr>
      </w:pPr>
      <w:bookmarkStart w:id="8" w:name="_Toc256000006"/>
      <w:r>
        <w:rPr>
          <w:rFonts w:ascii="仿宋_GB2312" w:hAnsi="仿宋_GB2312" w:eastAsia="仿宋_GB2312" w:cs="仿宋_GB2312"/>
          <w:i w:val="0"/>
          <w:iCs w:val="0"/>
        </w:rPr>
        <w:t>1.4其他要求</w:t>
      </w:r>
      <w:bookmarkEnd w:id="8"/>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无</w:t>
      </w:r>
    </w:p>
    <w:p>
      <w:pPr>
        <w:pStyle w:val="2"/>
        <w:keepNext w:val="0"/>
        <w:spacing w:before="0" w:after="0" w:line="360" w:lineRule="auto"/>
        <w:jc w:val="center"/>
        <w:rPr>
          <w:rFonts w:ascii="仿宋_GB2312" w:hAnsi="仿宋_GB2312" w:eastAsia="仿宋_GB2312" w:cs="仿宋_GB2312"/>
          <w:b/>
          <w:bCs/>
          <w:sz w:val="32"/>
          <w:szCs w:val="32"/>
        </w:rPr>
      </w:pPr>
      <w:bookmarkStart w:id="9" w:name="_Toc256000007"/>
      <w:r>
        <w:rPr>
          <w:rFonts w:ascii="仿宋_GB2312" w:hAnsi="仿宋_GB2312" w:eastAsia="仿宋_GB2312" w:cs="仿宋_GB2312"/>
          <w:kern w:val="36"/>
        </w:rPr>
        <w:t>2投标/响应要求</w:t>
      </w:r>
      <w:bookmarkEnd w:id="9"/>
    </w:p>
    <w:p>
      <w:pPr>
        <w:pStyle w:val="3"/>
        <w:keepNext w:val="0"/>
        <w:spacing w:before="0" w:after="0" w:line="360" w:lineRule="auto"/>
        <w:rPr>
          <w:rFonts w:ascii="仿宋_GB2312" w:hAnsi="仿宋_GB2312" w:eastAsia="仿宋_GB2312" w:cs="仿宋_GB2312"/>
          <w:b/>
          <w:bCs/>
          <w:sz w:val="28"/>
          <w:szCs w:val="28"/>
        </w:rPr>
      </w:pPr>
      <w:bookmarkStart w:id="10" w:name="_Toc256000008"/>
      <w:r>
        <w:rPr>
          <w:rFonts w:ascii="仿宋_GB2312" w:hAnsi="仿宋_GB2312" w:eastAsia="仿宋_GB2312" w:cs="仿宋_GB2312"/>
          <w:i w:val="0"/>
          <w:iCs w:val="0"/>
        </w:rPr>
        <w:t>2.1对供应商的要求</w:t>
      </w:r>
      <w:bookmarkEnd w:id="10"/>
    </w:p>
    <w:p>
      <w:pPr>
        <w:pStyle w:val="4"/>
        <w:keepNext w:val="0"/>
        <w:spacing w:before="0" w:after="0" w:line="360" w:lineRule="auto"/>
        <w:rPr>
          <w:rFonts w:ascii="仿宋_GB2312" w:hAnsi="仿宋_GB2312" w:eastAsia="仿宋_GB2312" w:cs="仿宋_GB2312"/>
          <w:b/>
          <w:bCs/>
          <w:sz w:val="28"/>
          <w:szCs w:val="28"/>
        </w:rPr>
      </w:pPr>
      <w:bookmarkStart w:id="11" w:name="_Toc256000009"/>
      <w:r>
        <w:rPr>
          <w:rFonts w:ascii="仿宋_GB2312" w:hAnsi="仿宋_GB2312" w:eastAsia="仿宋_GB2312" w:cs="仿宋_GB2312"/>
          <w:sz w:val="28"/>
          <w:szCs w:val="28"/>
        </w:rPr>
        <w:t>2.1.1必备资质</w:t>
      </w:r>
      <w:bookmarkEnd w:id="11"/>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1.投标人必须具备《政府采购法》第二十二条的规定：</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（1）具有独立承担民事责任的能力；</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（2）具有良好商业信誉和健全的财务会计制度；</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（3）具有履行合同所必需的设备和专业技术能力；</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（4）有依法缴纳税收和社会保障资金的良好记录；</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（5）参加政府采购前三年内,经营活动中没有重大违法记录；</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（6）法律、行政法规规定的其它条件。</w:t>
      </w:r>
    </w:p>
    <w:p>
      <w:pPr>
        <w:pStyle w:val="13"/>
        <w:spacing w:before="0" w:after="0" w:line="360" w:lineRule="auto"/>
        <w:ind w:firstLine="561"/>
        <w:rPr>
          <w:rFonts w:ascii="Times New Roman" w:hAnsi="Times New Roman" w:eastAsia="Times New Roman" w:cs="Times New Roman"/>
        </w:rPr>
      </w:pPr>
      <w:r>
        <w:rPr>
          <w:rFonts w:ascii="仿宋_GB2312" w:hAnsi="仿宋_GB2312" w:eastAsia="仿宋_GB2312" w:cs="仿宋_GB2312"/>
          <w:color w:val="000000"/>
          <w:sz w:val="28"/>
          <w:szCs w:val="28"/>
        </w:rPr>
        <w:t>2.落实政府采购政策需满足的资格要求：</w:t>
      </w:r>
    </w:p>
    <w:p>
      <w:pPr>
        <w:pStyle w:val="12"/>
        <w:spacing w:before="0" w:after="0" w:line="360" w:lineRule="auto"/>
        <w:ind w:firstLine="640"/>
        <w:rPr>
          <w:rFonts w:ascii="Times New Roman" w:hAnsi="Times New Roman" w:eastAsia="Times New Roman" w:cs="Times New Roman"/>
        </w:rPr>
      </w:pPr>
      <w:r>
        <w:rPr>
          <w:rFonts w:ascii="FangSong_GB2312" w:hAnsi="FangSong_GB2312" w:eastAsia="FangSong_GB2312" w:cs="FangSong_GB2312"/>
          <w:color w:val="000000"/>
          <w:sz w:val="28"/>
          <w:szCs w:val="28"/>
        </w:rPr>
        <w:t>提供《中小企业声明函》，残疾人福利性单位提供《残疾人福利性单位声明函》，监狱企业提供由省级以上监狱管理局、戒毒管理局（含新疆生产建设兵团）出具的属于监狱企业的证明文件。（如供应商以联合体形式参加本采购包的，联合体各方均应当符合本采购包专门面向的企业类型；如供应商合同分包的，分包意向协议中分包意向供应商应当符合本采购包专门面向的企业类型。）</w:t>
      </w:r>
    </w:p>
    <w:p>
      <w:pPr>
        <w:pStyle w:val="13"/>
        <w:spacing w:before="0" w:after="0" w:line="360" w:lineRule="auto"/>
        <w:ind w:firstLine="561"/>
        <w:rPr>
          <w:rFonts w:ascii="Times New Roman" w:hAnsi="Times New Roman" w:eastAsia="Times New Roman" w:cs="Times New Roman"/>
        </w:rPr>
      </w:pPr>
      <w:r>
        <w:rPr>
          <w:rFonts w:ascii="仿宋_GB2312" w:hAnsi="仿宋_GB2312" w:eastAsia="仿宋_GB2312" w:cs="仿宋_GB2312"/>
          <w:color w:val="000000"/>
          <w:sz w:val="28"/>
          <w:szCs w:val="28"/>
        </w:rPr>
        <w:t>3.本项目的特定资格要求：</w:t>
      </w:r>
    </w:p>
    <w:p>
      <w:pPr>
        <w:pStyle w:val="12"/>
        <w:spacing w:before="0" w:after="0" w:line="360" w:lineRule="auto"/>
        <w:ind w:firstLine="640"/>
        <w:rPr>
          <w:rFonts w:ascii="Times New Roman" w:hAnsi="Times New Roman" w:eastAsia="Times New Roman" w:cs="Times New Roman"/>
        </w:rPr>
      </w:pPr>
      <w:r>
        <w:rPr>
          <w:rFonts w:ascii="仿宋_GB2312" w:hAnsi="仿宋_GB2312" w:eastAsia="仿宋_GB2312" w:cs="仿宋_GB2312"/>
          <w:color w:val="000000"/>
          <w:sz w:val="28"/>
          <w:szCs w:val="28"/>
        </w:rPr>
        <w:t>（1）供应商须具有建设行政主管部门颁发的有效期内的施工综合资质或建筑工程施工总承包乙级（含）以上资质同时具备有效的安全生产许可证。（以上资质为住建部最新资质要求（2020 年11月30日建市〔2020〕94号《住房和城乡建设部关于印发建设工程企业资质管理制度改革方案的通知》）。如供应商还未申办以上资质，供应商须具有建设行政主管部门颁发的有效期内的建筑工程施工总承包三级（含）以上资质，同时具备有效的安全生产许可证。（证件如遇过期，未做或正在办理延期的，须提供主管部门发布的延期通知或资质延续名单的公告或相应文件）；</w:t>
      </w:r>
    </w:p>
    <w:p>
      <w:pPr>
        <w:pStyle w:val="12"/>
        <w:spacing w:before="0" w:after="0" w:line="360" w:lineRule="auto"/>
        <w:ind w:firstLine="640"/>
        <w:rPr>
          <w:rFonts w:ascii="Times New Roman" w:hAnsi="Times New Roman" w:eastAsia="Times New Roman" w:cs="Times New Roman"/>
        </w:rPr>
      </w:pPr>
      <w:r>
        <w:rPr>
          <w:rFonts w:ascii="仿宋_GB2312" w:hAnsi="仿宋_GB2312" w:eastAsia="仿宋_GB2312" w:cs="仿宋_GB2312"/>
          <w:color w:val="000000"/>
          <w:sz w:val="28"/>
          <w:szCs w:val="28"/>
        </w:rPr>
        <w:t>（2）拟派项目经理具备建筑工程贰级（含）以上在本单位注册建造师执业资格，并具有有效的安全生产考核合格证书，且不得担任其他在施工程项目的项目经理。(项目经理无在建需提供无在建承诺，并加盖公章，格式自拟)。</w:t>
      </w:r>
    </w:p>
    <w:p>
      <w:pPr>
        <w:pStyle w:val="4"/>
        <w:keepNext w:val="0"/>
        <w:spacing w:before="0" w:after="0" w:line="360" w:lineRule="auto"/>
        <w:rPr>
          <w:rFonts w:ascii="仿宋_GB2312" w:hAnsi="仿宋_GB2312" w:eastAsia="仿宋_GB2312" w:cs="仿宋_GB2312"/>
          <w:b/>
          <w:bCs/>
          <w:sz w:val="28"/>
          <w:szCs w:val="28"/>
        </w:rPr>
      </w:pPr>
      <w:bookmarkStart w:id="12" w:name="_Toc256000010"/>
      <w:r>
        <w:rPr>
          <w:rFonts w:ascii="仿宋_GB2312" w:hAnsi="仿宋_GB2312" w:eastAsia="仿宋_GB2312" w:cs="仿宋_GB2312"/>
          <w:sz w:val="28"/>
          <w:szCs w:val="28"/>
        </w:rPr>
        <w:t>2.1.2优选资质/优选指标</w:t>
      </w:r>
      <w:bookmarkEnd w:id="12"/>
    </w:p>
    <w:p>
      <w:pPr>
        <w:pStyle w:val="5"/>
        <w:keepNext w:val="0"/>
        <w:spacing w:before="0" w:after="0" w:line="360" w:lineRule="auto"/>
        <w:rPr>
          <w:rFonts w:ascii="仿宋_GB2312" w:hAnsi="仿宋_GB2312" w:eastAsia="仿宋_GB2312" w:cs="仿宋_GB2312"/>
        </w:rPr>
      </w:pPr>
      <w:r>
        <w:rPr>
          <w:rFonts w:ascii="仿宋_GB2312" w:hAnsi="仿宋_GB2312" w:eastAsia="仿宋_GB2312" w:cs="仿宋_GB2312"/>
        </w:rPr>
        <w:t>2.1.2.1相关证书</w:t>
      </w:r>
    </w:p>
    <w:p/>
    <w:tbl>
      <w:tblPr>
        <w:tblStyle w:val="9"/>
        <w:tblW w:w="5000" w:type="pct"/>
        <w:tblInd w:w="30" w:type="dxa"/>
        <w:tblLayout w:type="autofit"/>
        <w:tblCellMar>
          <w:top w:w="15" w:type="dxa"/>
          <w:left w:w="15" w:type="dxa"/>
          <w:bottom w:w="15" w:type="dxa"/>
          <w:right w:w="15" w:type="dxa"/>
        </w:tblCellMar>
      </w:tblPr>
      <w:tblGrid>
        <w:gridCol w:w="906"/>
        <w:gridCol w:w="4082"/>
        <w:gridCol w:w="4082"/>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225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证书名称</w:t>
            </w:r>
          </w:p>
        </w:tc>
        <w:tc>
          <w:tcPr>
            <w:tcW w:w="225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备注</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绿色建材认证证书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无</w:t>
            </w:r>
          </w:p>
        </w:tc>
      </w:tr>
    </w:tbl>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2.1.2.2成功案例</w:t>
      </w:r>
    </w:p>
    <w:p>
      <w:pPr>
        <w:pStyle w:val="12"/>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供应商202</w:t>
      </w:r>
      <w:r>
        <w:rPr>
          <w:rFonts w:hint="eastAsia" w:ascii="仿宋_GB2312" w:hAnsi="仿宋_GB2312" w:eastAsia="仿宋_GB2312" w:cs="仿宋_GB2312"/>
          <w:sz w:val="28"/>
          <w:szCs w:val="28"/>
          <w:lang w:val="en-US" w:eastAsia="zh-CN"/>
        </w:rPr>
        <w:t>3</w:t>
      </w:r>
      <w:r>
        <w:rPr>
          <w:rFonts w:ascii="仿宋_GB2312" w:hAnsi="仿宋_GB2312" w:eastAsia="仿宋_GB2312" w:cs="仿宋_GB2312"/>
          <w:sz w:val="28"/>
          <w:szCs w:val="28"/>
        </w:rPr>
        <w:t>年06月至今完成过的类似项目业绩。</w:t>
      </w:r>
    </w:p>
    <w:p>
      <w:pPr>
        <w:pStyle w:val="4"/>
        <w:keepNext w:val="0"/>
        <w:spacing w:before="0" w:after="0" w:line="360" w:lineRule="auto"/>
        <w:rPr>
          <w:rFonts w:ascii="仿宋_GB2312" w:hAnsi="仿宋_GB2312" w:eastAsia="仿宋_GB2312" w:cs="仿宋_GB2312"/>
          <w:b/>
          <w:bCs/>
          <w:sz w:val="28"/>
          <w:szCs w:val="28"/>
        </w:rPr>
      </w:pPr>
      <w:bookmarkStart w:id="13" w:name="_Toc256000011"/>
      <w:r>
        <w:rPr>
          <w:rFonts w:ascii="仿宋_GB2312" w:hAnsi="仿宋_GB2312" w:eastAsia="仿宋_GB2312" w:cs="仿宋_GB2312"/>
          <w:sz w:val="28"/>
          <w:szCs w:val="28"/>
        </w:rPr>
        <w:t>2.1.3是否允许联合体</w:t>
      </w:r>
      <w:bookmarkEnd w:id="13"/>
    </w:p>
    <w:p>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否</w:t>
      </w:r>
    </w:p>
    <w:p>
      <w:pPr>
        <w:pStyle w:val="4"/>
        <w:keepNext w:val="0"/>
        <w:spacing w:before="0" w:after="0" w:line="360" w:lineRule="auto"/>
        <w:rPr>
          <w:rFonts w:ascii="仿宋_GB2312" w:hAnsi="仿宋_GB2312" w:eastAsia="仿宋_GB2312" w:cs="仿宋_GB2312"/>
          <w:b/>
          <w:bCs/>
          <w:sz w:val="28"/>
          <w:szCs w:val="28"/>
        </w:rPr>
      </w:pPr>
      <w:bookmarkStart w:id="14" w:name="_Toc256000012"/>
      <w:r>
        <w:rPr>
          <w:rFonts w:ascii="仿宋_GB2312" w:hAnsi="仿宋_GB2312" w:eastAsia="仿宋_GB2312" w:cs="仿宋_GB2312"/>
          <w:sz w:val="28"/>
          <w:szCs w:val="28"/>
        </w:rPr>
        <w:t>2.1.4是否专门面向中小企业</w:t>
      </w:r>
      <w:bookmarkEnd w:id="14"/>
    </w:p>
    <w:p>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本项目专门面向中小企业采购项目</w:t>
      </w:r>
    </w:p>
    <w:p>
      <w:pPr>
        <w:pStyle w:val="4"/>
        <w:keepNext w:val="0"/>
        <w:spacing w:before="0" w:after="0" w:line="360" w:lineRule="auto"/>
        <w:rPr>
          <w:rFonts w:ascii="仿宋_GB2312" w:hAnsi="仿宋_GB2312" w:eastAsia="仿宋_GB2312" w:cs="仿宋_GB2312"/>
          <w:b/>
          <w:bCs/>
          <w:sz w:val="28"/>
          <w:szCs w:val="28"/>
        </w:rPr>
      </w:pPr>
      <w:bookmarkStart w:id="15" w:name="_Toc256000013"/>
      <w:r>
        <w:rPr>
          <w:rFonts w:ascii="仿宋_GB2312" w:hAnsi="仿宋_GB2312" w:eastAsia="仿宋_GB2312" w:cs="仿宋_GB2312"/>
          <w:sz w:val="28"/>
          <w:szCs w:val="28"/>
        </w:rPr>
        <w:t>2.1.5其他要求</w:t>
      </w:r>
      <w:bookmarkEnd w:id="15"/>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无</w:t>
      </w:r>
    </w:p>
    <w:p>
      <w:pPr>
        <w:pStyle w:val="3"/>
        <w:keepNext w:val="0"/>
        <w:spacing w:before="0" w:after="0" w:line="360" w:lineRule="auto"/>
        <w:rPr>
          <w:rFonts w:ascii="仿宋_GB2312" w:hAnsi="仿宋_GB2312" w:eastAsia="仿宋_GB2312" w:cs="仿宋_GB2312"/>
          <w:b/>
          <w:bCs/>
          <w:sz w:val="28"/>
          <w:szCs w:val="28"/>
        </w:rPr>
      </w:pPr>
      <w:bookmarkStart w:id="16" w:name="_Toc256000014"/>
      <w:r>
        <w:rPr>
          <w:rFonts w:ascii="仿宋_GB2312" w:hAnsi="仿宋_GB2312" w:eastAsia="仿宋_GB2312" w:cs="仿宋_GB2312"/>
          <w:i w:val="0"/>
          <w:iCs w:val="0"/>
        </w:rPr>
        <w:t>2.2技术部分投标/响应内容</w:t>
      </w:r>
      <w:bookmarkEnd w:id="16"/>
    </w:p>
    <w:p>
      <w:pPr>
        <w:pStyle w:val="4"/>
        <w:keepNext w:val="0"/>
        <w:spacing w:before="0" w:after="0" w:line="360" w:lineRule="auto"/>
        <w:rPr>
          <w:rFonts w:ascii="仿宋_GB2312" w:hAnsi="仿宋_GB2312" w:eastAsia="仿宋_GB2312" w:cs="仿宋_GB2312"/>
          <w:b/>
          <w:bCs/>
          <w:sz w:val="28"/>
          <w:szCs w:val="28"/>
        </w:rPr>
      </w:pPr>
      <w:bookmarkStart w:id="17" w:name="_Toc256000015"/>
      <w:r>
        <w:rPr>
          <w:rFonts w:ascii="仿宋_GB2312" w:hAnsi="仿宋_GB2312" w:eastAsia="仿宋_GB2312" w:cs="仿宋_GB2312"/>
          <w:sz w:val="28"/>
          <w:szCs w:val="28"/>
        </w:rPr>
        <w:t>2.2.1技术投标/响应总要求</w:t>
      </w:r>
      <w:bookmarkEnd w:id="17"/>
    </w:p>
    <w:p>
      <w:pPr>
        <w:pStyle w:val="13"/>
        <w:spacing w:before="0" w:after="0" w:line="36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国家税务总局达尔罕茂明安联合旗税务局百灵庙镇税务所综合业务办公用房维修改造项目。</w:t>
      </w:r>
    </w:p>
    <w:p>
      <w:pPr>
        <w:pStyle w:val="13"/>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1、招标控制价：</w:t>
      </w:r>
      <w:r>
        <w:rPr>
          <w:rFonts w:hint="eastAsia" w:ascii="仿宋_GB2312" w:hAnsi="仿宋_GB2312" w:eastAsia="仿宋_GB2312" w:cs="仿宋_GB2312"/>
          <w:sz w:val="28"/>
          <w:szCs w:val="28"/>
          <w:lang w:val="en-US" w:eastAsia="zh-CN"/>
        </w:rPr>
        <w:t>2548419.78</w:t>
      </w:r>
      <w:r>
        <w:rPr>
          <w:rFonts w:ascii="仿宋_GB2312" w:hAnsi="仿宋_GB2312" w:eastAsia="仿宋_GB2312" w:cs="仿宋_GB2312"/>
          <w:sz w:val="28"/>
          <w:szCs w:val="28"/>
        </w:rPr>
        <w:t>元，超出此招标控制价按无效标处理。</w:t>
      </w:r>
    </w:p>
    <w:p>
      <w:pPr>
        <w:pStyle w:val="13"/>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2、工期：9</w:t>
      </w:r>
      <w:r>
        <w:rPr>
          <w:rFonts w:hint="eastAsia" w:ascii="仿宋_GB2312" w:hAnsi="仿宋_GB2312" w:eastAsia="仿宋_GB2312" w:cs="仿宋_GB2312"/>
          <w:sz w:val="28"/>
          <w:szCs w:val="28"/>
          <w:lang w:val="en-US" w:eastAsia="zh-CN"/>
        </w:rPr>
        <w:t>1</w:t>
      </w:r>
      <w:r>
        <w:rPr>
          <w:rFonts w:ascii="仿宋_GB2312" w:hAnsi="仿宋_GB2312" w:eastAsia="仿宋_GB2312" w:cs="仿宋_GB2312"/>
          <w:sz w:val="28"/>
          <w:szCs w:val="28"/>
        </w:rPr>
        <w:t>日历天</w:t>
      </w:r>
    </w:p>
    <w:p>
      <w:pPr>
        <w:pStyle w:val="13"/>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3、质量要求：符合国家工程质量验收标准。</w:t>
      </w:r>
    </w:p>
    <w:p>
      <w:pPr>
        <w:pStyle w:val="13"/>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4、已标价的工程量清单作为报价的一部分需随响应文件一起上传，未上传视为投标无效。</w:t>
      </w:r>
    </w:p>
    <w:p>
      <w:pPr>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5、本项目在评标期间发起的磋商报价或最终报价，只报总价即可，不报视为无效响应。最终报价（二次报价，开标当天系统中报价）如与首轮报价不一致，供应商须按照最终报价在中标结果公告发布后7个工作日内将二次报价的总价和已填写报价的工程量清单相关资料加盖公章电子版发送至采购人邮箱</w:t>
      </w:r>
      <w:r>
        <w:rPr>
          <w:rFonts w:hint="eastAsia" w:ascii="仿宋_GB2312" w:hAnsi="仿宋_GB2312" w:eastAsia="仿宋_GB2312" w:cs="仿宋_GB2312"/>
          <w:sz w:val="28"/>
          <w:szCs w:val="28"/>
          <w:lang w:val="en-US" w:eastAsia="zh-CN"/>
        </w:rPr>
        <w:t>dmqgsj@123.com</w:t>
      </w:r>
      <w:r>
        <w:rPr>
          <w:rFonts w:ascii="仿宋_GB2312" w:hAnsi="仿宋_GB2312" w:eastAsia="仿宋_GB2312" w:cs="仿宋_GB2312"/>
          <w:sz w:val="28"/>
          <w:szCs w:val="28"/>
        </w:rPr>
        <w:t>。</w:t>
      </w:r>
    </w:p>
    <w:p>
      <w:pPr>
        <w:pStyle w:val="4"/>
        <w:keepNext w:val="0"/>
        <w:spacing w:before="0" w:after="0" w:line="360" w:lineRule="auto"/>
        <w:rPr>
          <w:rFonts w:ascii="仿宋_GB2312" w:hAnsi="仿宋_GB2312" w:eastAsia="仿宋_GB2312" w:cs="仿宋_GB2312"/>
          <w:b/>
          <w:bCs/>
          <w:sz w:val="28"/>
          <w:szCs w:val="28"/>
        </w:rPr>
      </w:pPr>
      <w:bookmarkStart w:id="18" w:name="_Toc256000016"/>
      <w:r>
        <w:rPr>
          <w:rFonts w:ascii="仿宋_GB2312" w:hAnsi="仿宋_GB2312" w:eastAsia="仿宋_GB2312" w:cs="仿宋_GB2312"/>
          <w:sz w:val="28"/>
          <w:szCs w:val="28"/>
        </w:rPr>
        <w:t>2.2.2投标/响应方案要求</w:t>
      </w:r>
      <w:bookmarkEnd w:id="18"/>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满足竞争性磋商文件要求。</w:t>
      </w:r>
    </w:p>
    <w:p>
      <w:pPr>
        <w:pStyle w:val="2"/>
        <w:keepNext w:val="0"/>
        <w:spacing w:before="0" w:after="0" w:line="360" w:lineRule="auto"/>
        <w:jc w:val="center"/>
        <w:rPr>
          <w:rFonts w:ascii="仿宋_GB2312" w:hAnsi="仿宋_GB2312" w:eastAsia="仿宋_GB2312" w:cs="仿宋_GB2312"/>
          <w:b/>
          <w:bCs/>
          <w:sz w:val="32"/>
          <w:szCs w:val="32"/>
        </w:rPr>
      </w:pPr>
      <w:bookmarkStart w:id="19" w:name="_Toc256000017"/>
      <w:r>
        <w:rPr>
          <w:rFonts w:ascii="仿宋_GB2312" w:hAnsi="仿宋_GB2312" w:eastAsia="仿宋_GB2312" w:cs="仿宋_GB2312"/>
          <w:kern w:val="36"/>
        </w:rPr>
        <w:t>3项目需求</w:t>
      </w:r>
      <w:bookmarkEnd w:id="19"/>
    </w:p>
    <w:p>
      <w:pPr>
        <w:pStyle w:val="3"/>
        <w:keepNext w:val="0"/>
        <w:spacing w:before="0" w:after="0" w:line="360" w:lineRule="auto"/>
        <w:rPr>
          <w:rFonts w:ascii="仿宋_GB2312" w:hAnsi="仿宋_GB2312" w:eastAsia="仿宋_GB2312" w:cs="仿宋_GB2312"/>
          <w:b/>
          <w:bCs/>
          <w:sz w:val="28"/>
          <w:szCs w:val="28"/>
        </w:rPr>
      </w:pPr>
      <w:bookmarkStart w:id="20" w:name="_Toc256000018"/>
      <w:r>
        <w:rPr>
          <w:rFonts w:ascii="仿宋_GB2312" w:hAnsi="仿宋_GB2312" w:eastAsia="仿宋_GB2312" w:cs="仿宋_GB2312"/>
          <w:i w:val="0"/>
          <w:iCs w:val="0"/>
        </w:rPr>
        <w:t>3.1建设内容</w:t>
      </w:r>
      <w:bookmarkEnd w:id="20"/>
    </w:p>
    <w:p>
      <w:pPr>
        <w:spacing w:before="0" w:after="0" w:line="360" w:lineRule="auto"/>
        <w:ind w:firstLine="480"/>
        <w:rPr>
          <w:rFonts w:ascii="Times New Roman" w:hAnsi="Times New Roman" w:eastAsia="Times New Roman" w:cs="Times New Roman"/>
        </w:rPr>
      </w:pPr>
      <w:bookmarkStart w:id="21" w:name="_Toc256000019"/>
      <w:r>
        <w:rPr>
          <w:rFonts w:ascii="FangSong_GB2312" w:hAnsi="FangSong_GB2312" w:eastAsia="FangSong_GB2312" w:cs="FangSong_GB2312"/>
          <w:sz w:val="28"/>
          <w:szCs w:val="28"/>
        </w:rPr>
        <w:t>主要进行百灵庙镇税务所综合业务办公用房的</w:t>
      </w:r>
      <w:r>
        <w:rPr>
          <w:rFonts w:hint="eastAsia" w:ascii="FangSong_GB2312" w:hAnsi="FangSong_GB2312" w:eastAsia="FangSong_GB2312" w:cs="FangSong_GB2312"/>
          <w:sz w:val="28"/>
          <w:szCs w:val="28"/>
          <w:lang w:eastAsia="zh-CN"/>
        </w:rPr>
        <w:t>维</w:t>
      </w:r>
      <w:r>
        <w:rPr>
          <w:rFonts w:ascii="FangSong_GB2312" w:hAnsi="FangSong_GB2312" w:eastAsia="FangSong_GB2312" w:cs="FangSong_GB2312"/>
          <w:sz w:val="28"/>
          <w:szCs w:val="28"/>
        </w:rPr>
        <w:t>护、建筑装饰装修、给水排水、供暖、电气、建筑消防</w:t>
      </w:r>
      <w:bookmarkStart w:id="46" w:name="_GoBack"/>
      <w:bookmarkEnd w:id="46"/>
      <w:r>
        <w:rPr>
          <w:rFonts w:ascii="FangSong_GB2312" w:hAnsi="FangSong_GB2312" w:eastAsia="FangSong_GB2312" w:cs="FangSong_GB2312"/>
          <w:sz w:val="28"/>
          <w:szCs w:val="28"/>
        </w:rPr>
        <w:t>等系统维修</w:t>
      </w:r>
      <w:r>
        <w:rPr>
          <w:rFonts w:hint="eastAsia" w:ascii="FangSong_GB2312" w:hAnsi="FangSong_GB2312" w:eastAsia="FangSong_GB2312" w:cs="FangSong_GB2312"/>
          <w:sz w:val="28"/>
          <w:szCs w:val="28"/>
          <w:lang w:eastAsia="zh-CN"/>
        </w:rPr>
        <w:t>及危房改造</w:t>
      </w:r>
      <w:r>
        <w:rPr>
          <w:rFonts w:ascii="FangSong_GB2312" w:hAnsi="FangSong_GB2312" w:eastAsia="FangSong_GB2312" w:cs="FangSong_GB2312"/>
          <w:sz w:val="28"/>
          <w:szCs w:val="28"/>
        </w:rPr>
        <w:t>。</w:t>
      </w:r>
    </w:p>
    <w:p>
      <w:pPr>
        <w:pStyle w:val="3"/>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i w:val="0"/>
          <w:iCs w:val="0"/>
        </w:rPr>
        <w:t>3.2技术标准和要求</w:t>
      </w:r>
      <w:bookmarkEnd w:id="21"/>
    </w:p>
    <w:p>
      <w:pPr>
        <w:pStyle w:val="4"/>
        <w:keepNext w:val="0"/>
        <w:spacing w:before="0" w:after="0" w:line="360" w:lineRule="auto"/>
        <w:rPr>
          <w:rFonts w:ascii="仿宋_GB2312" w:hAnsi="仿宋_GB2312" w:eastAsia="仿宋_GB2312" w:cs="仿宋_GB2312"/>
          <w:b/>
          <w:bCs/>
          <w:sz w:val="28"/>
          <w:szCs w:val="28"/>
        </w:rPr>
      </w:pPr>
      <w:bookmarkStart w:id="22" w:name="_Toc256000020"/>
      <w:r>
        <w:rPr>
          <w:rFonts w:ascii="仿宋_GB2312" w:hAnsi="仿宋_GB2312" w:eastAsia="仿宋_GB2312" w:cs="仿宋_GB2312"/>
          <w:sz w:val="28"/>
          <w:szCs w:val="28"/>
        </w:rPr>
        <w:t>3.2.1质量要求</w:t>
      </w:r>
      <w:bookmarkEnd w:id="22"/>
    </w:p>
    <w:p>
      <w:pPr>
        <w:pStyle w:val="12"/>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符合国家工程验收标准。</w:t>
      </w:r>
    </w:p>
    <w:p>
      <w:pPr>
        <w:pStyle w:val="4"/>
        <w:keepNext w:val="0"/>
        <w:spacing w:before="0" w:after="0" w:line="360" w:lineRule="auto"/>
        <w:rPr>
          <w:rFonts w:ascii="仿宋_GB2312" w:hAnsi="仿宋_GB2312" w:eastAsia="仿宋_GB2312" w:cs="仿宋_GB2312"/>
          <w:b/>
          <w:bCs/>
          <w:sz w:val="28"/>
          <w:szCs w:val="28"/>
        </w:rPr>
      </w:pPr>
      <w:bookmarkStart w:id="23" w:name="_Toc256000021"/>
      <w:r>
        <w:rPr>
          <w:rFonts w:ascii="仿宋_GB2312" w:hAnsi="仿宋_GB2312" w:eastAsia="仿宋_GB2312" w:cs="仿宋_GB2312"/>
          <w:sz w:val="28"/>
          <w:szCs w:val="28"/>
        </w:rPr>
        <w:t>3.2.2适用规范和标准</w:t>
      </w:r>
      <w:bookmarkEnd w:id="23"/>
    </w:p>
    <w:p>
      <w:pPr>
        <w:pStyle w:val="13"/>
        <w:spacing w:before="0" w:after="0" w:line="360" w:lineRule="auto"/>
        <w:ind w:firstLine="480"/>
        <w:jc w:val="left"/>
        <w:rPr>
          <w:rFonts w:ascii="Times New Roman" w:hAnsi="Times New Roman" w:eastAsia="Times New Roman" w:cs="Times New Roman"/>
        </w:rPr>
      </w:pPr>
      <w:r>
        <w:rPr>
          <w:rFonts w:ascii="仿宋_GB2312" w:hAnsi="仿宋_GB2312" w:eastAsia="仿宋_GB2312" w:cs="仿宋_GB2312"/>
          <w:sz w:val="28"/>
          <w:szCs w:val="28"/>
        </w:rPr>
        <w:t>根据设计文件要求，本招标工程项目的材料、设备、施工须达到现行中华人民共和国以及内蒙古自治区或行业的工程建设标准、规范的要求。在施工过程中，如国家有新法规规范颁布，应以新颁布的法规规范为准。工程技术规范、标准由投标人自行获取。本工程执行下列有关技术标准、规范、规程但不限于以下技术标准、规程、规范：</w:t>
      </w:r>
    </w:p>
    <w:p>
      <w:pPr>
        <w:pStyle w:val="13"/>
        <w:spacing w:before="0" w:after="0" w:line="360" w:lineRule="auto"/>
        <w:ind w:firstLine="480"/>
        <w:jc w:val="left"/>
        <w:rPr>
          <w:rFonts w:ascii="Times New Roman" w:hAnsi="Times New Roman" w:eastAsia="Times New Roman" w:cs="Times New Roman"/>
        </w:rPr>
      </w:pPr>
      <w:r>
        <w:rPr>
          <w:rFonts w:ascii="仿宋_GB2312" w:hAnsi="仿宋_GB2312" w:eastAsia="仿宋_GB2312" w:cs="仿宋_GB2312"/>
          <w:sz w:val="28"/>
          <w:szCs w:val="28"/>
        </w:rPr>
        <w:t xml:space="preserve">（1）设计文件及设计文件所采用的技术标准规范 </w:t>
      </w:r>
    </w:p>
    <w:p>
      <w:pPr>
        <w:pStyle w:val="13"/>
        <w:spacing w:before="0" w:after="0" w:line="360" w:lineRule="auto"/>
        <w:ind w:firstLine="480"/>
        <w:jc w:val="left"/>
        <w:rPr>
          <w:rFonts w:ascii="Times New Roman" w:hAnsi="Times New Roman" w:eastAsia="Times New Roman" w:cs="Times New Roman"/>
        </w:rPr>
      </w:pPr>
      <w:r>
        <w:rPr>
          <w:rFonts w:ascii="仿宋_GB2312" w:hAnsi="仿宋_GB2312" w:eastAsia="仿宋_GB2312" w:cs="仿宋_GB2312"/>
          <w:sz w:val="28"/>
          <w:szCs w:val="28"/>
        </w:rPr>
        <w:t>（2）国家和行业现行施工及验收主要规程、规范、标准</w:t>
      </w:r>
    </w:p>
    <w:p>
      <w:pPr>
        <w:pStyle w:val="4"/>
        <w:keepNext w:val="0"/>
        <w:spacing w:before="0" w:after="0" w:line="360" w:lineRule="auto"/>
        <w:rPr>
          <w:rFonts w:ascii="仿宋_GB2312" w:hAnsi="仿宋_GB2312" w:eastAsia="仿宋_GB2312" w:cs="仿宋_GB2312"/>
          <w:b/>
          <w:bCs/>
          <w:sz w:val="28"/>
          <w:szCs w:val="28"/>
        </w:rPr>
      </w:pPr>
      <w:bookmarkStart w:id="24" w:name="_Toc256000022"/>
      <w:r>
        <w:rPr>
          <w:rFonts w:ascii="仿宋_GB2312" w:hAnsi="仿宋_GB2312" w:eastAsia="仿宋_GB2312" w:cs="仿宋_GB2312"/>
          <w:sz w:val="28"/>
          <w:szCs w:val="28"/>
        </w:rPr>
        <w:t>3.2.3安全文明施工</w:t>
      </w:r>
      <w:bookmarkEnd w:id="24"/>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在施工过程中，如遇到突发的地质变动、事先未知的地下施工障碍等影响施工安全的紧急情况，承包人应及时报告监理人和发包人，发包人应当及时下令停工并报政府有关行政管理部门采取应急措施。</w:t>
      </w:r>
    </w:p>
    <w:p>
      <w:pPr>
        <w:pStyle w:val="4"/>
        <w:keepNext w:val="0"/>
        <w:spacing w:before="0" w:after="0" w:line="360" w:lineRule="auto"/>
        <w:rPr>
          <w:rFonts w:ascii="仿宋_GB2312" w:hAnsi="仿宋_GB2312" w:eastAsia="仿宋_GB2312" w:cs="仿宋_GB2312"/>
          <w:b/>
          <w:bCs/>
          <w:sz w:val="28"/>
          <w:szCs w:val="28"/>
        </w:rPr>
      </w:pPr>
      <w:bookmarkStart w:id="25" w:name="_Toc256000023"/>
      <w:r>
        <w:rPr>
          <w:rFonts w:ascii="仿宋_GB2312" w:hAnsi="仿宋_GB2312" w:eastAsia="仿宋_GB2312" w:cs="仿宋_GB2312"/>
          <w:sz w:val="28"/>
          <w:szCs w:val="28"/>
        </w:rPr>
        <w:t>3.2.4治安保卫</w:t>
      </w:r>
      <w:bookmarkEnd w:id="25"/>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除专用合同条款另有约定外，发包人应与当地公安部门协商，在现场建立治安管理机构或联防组织，统一管理施工场地的治安保卫事项，履行合同工程的治安保卫职责。发包人和承包人除应协助现场治安管理机构或联防组织维护施工场地的社会治安外，还应做好包括生活区在内的各自管辖区的治安保卫工作。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pPr>
        <w:pStyle w:val="4"/>
        <w:keepNext w:val="0"/>
        <w:spacing w:before="0" w:after="0" w:line="360" w:lineRule="auto"/>
        <w:rPr>
          <w:rFonts w:ascii="仿宋_GB2312" w:hAnsi="仿宋_GB2312" w:eastAsia="仿宋_GB2312" w:cs="仿宋_GB2312"/>
          <w:b/>
          <w:bCs/>
          <w:sz w:val="28"/>
          <w:szCs w:val="28"/>
        </w:rPr>
      </w:pPr>
      <w:bookmarkStart w:id="26" w:name="_Toc256000024"/>
      <w:r>
        <w:rPr>
          <w:rFonts w:ascii="仿宋_GB2312" w:hAnsi="仿宋_GB2312" w:eastAsia="仿宋_GB2312" w:cs="仿宋_GB2312"/>
          <w:sz w:val="28"/>
          <w:szCs w:val="28"/>
        </w:rPr>
        <w:t>3.2.5地上、地下设施和周边建筑物的临时保护</w:t>
      </w:r>
      <w:bookmarkEnd w:id="26"/>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执行国家标准。</w:t>
      </w:r>
    </w:p>
    <w:p>
      <w:pPr>
        <w:pStyle w:val="4"/>
        <w:keepNext w:val="0"/>
        <w:spacing w:before="0" w:after="0" w:line="360" w:lineRule="auto"/>
        <w:rPr>
          <w:rFonts w:ascii="仿宋_GB2312" w:hAnsi="仿宋_GB2312" w:eastAsia="仿宋_GB2312" w:cs="仿宋_GB2312"/>
          <w:b/>
          <w:bCs/>
          <w:sz w:val="28"/>
          <w:szCs w:val="28"/>
        </w:rPr>
      </w:pPr>
      <w:bookmarkStart w:id="27" w:name="_Toc256000025"/>
      <w:r>
        <w:rPr>
          <w:rFonts w:ascii="仿宋_GB2312" w:hAnsi="仿宋_GB2312" w:eastAsia="仿宋_GB2312" w:cs="仿宋_GB2312"/>
          <w:sz w:val="28"/>
          <w:szCs w:val="28"/>
        </w:rPr>
        <w:t>3.2.6样品和材料代换</w:t>
      </w:r>
      <w:bookmarkEnd w:id="27"/>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材料与工程设备的替代</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1.出现下列情况需要使用替代材料和工程设备的，承包人应执行相关规定。</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（1）基准日期后生效的法律规定禁止使用的；</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（2）发包人要求使用替代品的；</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（3）因其他原因必须使用替代品的。</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2.承包人应在使用替代材料和工程设备28天前书面通知监理人，并附下列文件：被替代的材料和工程设备的名称、数量、规格、型号、品牌、性能、价格及其他相关资料；替代品的名称、数量、规格、型号、品牌、性能、价格及其他相关资料；替代品与被替代产品之间的差异以及使用替代品可能对工程产生的影响；替代品与被替代产品的价格差异；使用替代品的理由和原因说明；监理人要求的其他文件。监理人应在收到通知后14天内向承包人发出经发包人签认的书面指示；监理人逾期发出书面指示的，视为发包人和监理人同意使用替代品。</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3.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商定或确定价格。</w:t>
      </w:r>
    </w:p>
    <w:p>
      <w:pPr>
        <w:pStyle w:val="4"/>
        <w:keepNext w:val="0"/>
        <w:spacing w:before="0" w:after="0" w:line="360" w:lineRule="auto"/>
        <w:rPr>
          <w:rFonts w:ascii="仿宋_GB2312" w:hAnsi="仿宋_GB2312" w:eastAsia="仿宋_GB2312" w:cs="仿宋_GB2312"/>
          <w:b/>
          <w:bCs/>
          <w:sz w:val="28"/>
          <w:szCs w:val="28"/>
        </w:rPr>
      </w:pPr>
      <w:bookmarkStart w:id="28" w:name="_Toc256000026"/>
      <w:r>
        <w:rPr>
          <w:rFonts w:ascii="仿宋_GB2312" w:hAnsi="仿宋_GB2312" w:eastAsia="仿宋_GB2312" w:cs="仿宋_GB2312"/>
          <w:sz w:val="28"/>
          <w:szCs w:val="28"/>
        </w:rPr>
        <w:t>3.2.7特殊技术标准和要求</w:t>
      </w:r>
      <w:bookmarkEnd w:id="28"/>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无</w:t>
      </w:r>
    </w:p>
    <w:p>
      <w:pPr>
        <w:pStyle w:val="4"/>
        <w:keepNext w:val="0"/>
        <w:spacing w:before="0" w:after="0" w:line="360" w:lineRule="auto"/>
        <w:rPr>
          <w:rFonts w:ascii="仿宋_GB2312" w:hAnsi="仿宋_GB2312" w:eastAsia="仿宋_GB2312" w:cs="仿宋_GB2312"/>
          <w:b/>
          <w:bCs/>
          <w:sz w:val="28"/>
          <w:szCs w:val="28"/>
        </w:rPr>
      </w:pPr>
      <w:bookmarkStart w:id="29" w:name="_Toc256000027"/>
      <w:r>
        <w:rPr>
          <w:rFonts w:ascii="仿宋_GB2312" w:hAnsi="仿宋_GB2312" w:eastAsia="仿宋_GB2312" w:cs="仿宋_GB2312"/>
          <w:sz w:val="28"/>
          <w:szCs w:val="28"/>
        </w:rPr>
        <w:t>3.2.8进度报告和进度例会</w:t>
      </w:r>
      <w:bookmarkEnd w:id="29"/>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执行相关标准。</w:t>
      </w:r>
    </w:p>
    <w:p>
      <w:pPr>
        <w:pStyle w:val="4"/>
        <w:keepNext w:val="0"/>
        <w:spacing w:before="0" w:after="0" w:line="360" w:lineRule="auto"/>
        <w:rPr>
          <w:rFonts w:ascii="仿宋_GB2312" w:hAnsi="仿宋_GB2312" w:eastAsia="仿宋_GB2312" w:cs="仿宋_GB2312"/>
          <w:b/>
          <w:bCs/>
          <w:sz w:val="28"/>
          <w:szCs w:val="28"/>
        </w:rPr>
      </w:pPr>
      <w:bookmarkStart w:id="30" w:name="_Toc256000028"/>
      <w:r>
        <w:rPr>
          <w:rFonts w:ascii="仿宋_GB2312" w:hAnsi="仿宋_GB2312" w:eastAsia="仿宋_GB2312" w:cs="仿宋_GB2312"/>
          <w:sz w:val="28"/>
          <w:szCs w:val="28"/>
        </w:rPr>
        <w:t>3.2.9试验和检验</w:t>
      </w:r>
      <w:bookmarkEnd w:id="30"/>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1.试验设备与试验人员</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1）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（2）承包人应按专用合同条款的约定提供试验设备、取样装置、试验场所和试验条件，并向监理人提交相应进场计划表。</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（3）承包人配置的试验设备要符合相应试验规程的要求并经过具有资质的检测单位检测，且在正式使用该试验设备前，需要经过监理人与承包人共同校定。</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（4）承包人应向监理人提交试验人员的名单及其岗位、资格等证明资料，试验人员必须能够熟练进行相应的检测试验，承包人对试验人员的试验程序和试验结果的正确性负责。</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2.取样</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试验属于自检性质的，承包人可以单独取样。试验属于监理人抽检性质的，可由监理人取样，也可由承包人的试验人员在监理人的监督下取样。</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3.材料、工程设备和工程的试验和检验</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4.现场工艺试验</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承包人应按合同约定或监理人指示进行现场工艺试验。对大型的现场工艺试验，监理人认为必要时，承包人应根据监理人提出的工艺试验要求，编制工艺试验措施计划，报送监理人审查。</w:t>
      </w:r>
    </w:p>
    <w:p>
      <w:pPr>
        <w:pStyle w:val="3"/>
        <w:keepNext w:val="0"/>
        <w:spacing w:before="0" w:after="0" w:line="360" w:lineRule="auto"/>
        <w:rPr>
          <w:rFonts w:ascii="仿宋_GB2312" w:hAnsi="仿宋_GB2312" w:eastAsia="仿宋_GB2312" w:cs="仿宋_GB2312"/>
          <w:b/>
          <w:bCs/>
          <w:sz w:val="28"/>
          <w:szCs w:val="28"/>
        </w:rPr>
      </w:pPr>
      <w:bookmarkStart w:id="31" w:name="_Toc256000029"/>
      <w:r>
        <w:rPr>
          <w:rFonts w:ascii="仿宋_GB2312" w:hAnsi="仿宋_GB2312" w:eastAsia="仿宋_GB2312" w:cs="仿宋_GB2312"/>
          <w:i w:val="0"/>
          <w:iCs w:val="0"/>
        </w:rPr>
        <w:t>3.3工程量清单和图纸</w:t>
      </w:r>
      <w:bookmarkEnd w:id="31"/>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详见附件。</w:t>
      </w:r>
    </w:p>
    <w:p>
      <w:pPr>
        <w:pStyle w:val="3"/>
        <w:keepNext w:val="0"/>
        <w:spacing w:before="0" w:after="0" w:line="360" w:lineRule="auto"/>
        <w:rPr>
          <w:rFonts w:ascii="仿宋_GB2312" w:hAnsi="仿宋_GB2312" w:eastAsia="仿宋_GB2312" w:cs="仿宋_GB2312"/>
          <w:b/>
          <w:bCs/>
          <w:sz w:val="28"/>
          <w:szCs w:val="28"/>
        </w:rPr>
      </w:pPr>
      <w:bookmarkStart w:id="32" w:name="_Toc256000030"/>
      <w:r>
        <w:rPr>
          <w:rFonts w:ascii="仿宋_GB2312" w:hAnsi="仿宋_GB2312" w:eastAsia="仿宋_GB2312" w:cs="仿宋_GB2312"/>
          <w:i w:val="0"/>
          <w:iCs w:val="0"/>
        </w:rPr>
        <w:t>3.4其他要求</w:t>
      </w:r>
      <w:bookmarkEnd w:id="32"/>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无</w:t>
      </w:r>
    </w:p>
    <w:p>
      <w:pPr>
        <w:pStyle w:val="2"/>
        <w:keepNext w:val="0"/>
        <w:spacing w:before="0" w:after="0" w:line="360" w:lineRule="auto"/>
        <w:jc w:val="center"/>
        <w:rPr>
          <w:rFonts w:ascii="仿宋_GB2312" w:hAnsi="仿宋_GB2312" w:eastAsia="仿宋_GB2312" w:cs="仿宋_GB2312"/>
          <w:b/>
          <w:bCs/>
          <w:sz w:val="32"/>
          <w:szCs w:val="32"/>
        </w:rPr>
      </w:pPr>
      <w:bookmarkStart w:id="33" w:name="_Toc256000031"/>
      <w:r>
        <w:rPr>
          <w:rFonts w:ascii="仿宋_GB2312" w:hAnsi="仿宋_GB2312" w:eastAsia="仿宋_GB2312" w:cs="仿宋_GB2312"/>
          <w:kern w:val="36"/>
        </w:rPr>
        <w:t>4人员要求</w:t>
      </w:r>
      <w:bookmarkEnd w:id="33"/>
    </w:p>
    <w:p>
      <w:pPr>
        <w:pStyle w:val="3"/>
        <w:keepNext w:val="0"/>
        <w:spacing w:before="0" w:after="0" w:line="360" w:lineRule="auto"/>
        <w:rPr>
          <w:rFonts w:ascii="仿宋_GB2312" w:hAnsi="仿宋_GB2312" w:eastAsia="仿宋_GB2312" w:cs="仿宋_GB2312"/>
          <w:b/>
          <w:bCs/>
          <w:sz w:val="28"/>
          <w:szCs w:val="28"/>
        </w:rPr>
      </w:pPr>
      <w:bookmarkStart w:id="34" w:name="_Toc256000032"/>
      <w:r>
        <w:rPr>
          <w:rFonts w:ascii="仿宋_GB2312" w:hAnsi="仿宋_GB2312" w:eastAsia="仿宋_GB2312" w:cs="仿宋_GB2312"/>
          <w:i w:val="0"/>
          <w:iCs w:val="0"/>
        </w:rPr>
        <w:t>4.1团队要求</w:t>
      </w:r>
      <w:bookmarkEnd w:id="34"/>
    </w:p>
    <w:p>
      <w:pPr>
        <w:pStyle w:val="4"/>
        <w:keepNext w:val="0"/>
        <w:spacing w:before="0" w:after="0" w:line="360" w:lineRule="auto"/>
        <w:rPr>
          <w:rFonts w:ascii="仿宋_GB2312" w:hAnsi="仿宋_GB2312" w:eastAsia="仿宋_GB2312" w:cs="仿宋_GB2312"/>
          <w:b/>
          <w:bCs/>
          <w:sz w:val="28"/>
          <w:szCs w:val="28"/>
        </w:rPr>
      </w:pPr>
      <w:bookmarkStart w:id="35" w:name="_Toc256000033"/>
      <w:r>
        <w:rPr>
          <w:rFonts w:ascii="仿宋_GB2312" w:hAnsi="仿宋_GB2312" w:eastAsia="仿宋_GB2312" w:cs="仿宋_GB2312"/>
          <w:sz w:val="28"/>
          <w:szCs w:val="28"/>
        </w:rPr>
        <w:t>4.1.1项目经理要求</w:t>
      </w:r>
      <w:bookmarkEnd w:id="35"/>
    </w:p>
    <w:p>
      <w:pPr>
        <w:pStyle w:val="12"/>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具备建筑工程贰级（含）以上在本单位注册建造师执业资格，并具有有效的安全生产考核合格证书，且不得担任其他在建工程项目的项目经理。(项目经理无在建需提供无在建承诺，并加盖公章，格式自拟)。</w:t>
      </w:r>
    </w:p>
    <w:p>
      <w:pPr>
        <w:pStyle w:val="4"/>
        <w:keepNext w:val="0"/>
        <w:spacing w:before="0" w:after="0" w:line="360" w:lineRule="auto"/>
        <w:rPr>
          <w:rFonts w:ascii="仿宋_GB2312" w:hAnsi="仿宋_GB2312" w:eastAsia="仿宋_GB2312" w:cs="仿宋_GB2312"/>
          <w:b/>
          <w:bCs/>
          <w:sz w:val="28"/>
          <w:szCs w:val="28"/>
        </w:rPr>
      </w:pPr>
      <w:bookmarkStart w:id="36" w:name="_Toc256000034"/>
      <w:r>
        <w:rPr>
          <w:rFonts w:ascii="仿宋_GB2312" w:hAnsi="仿宋_GB2312" w:eastAsia="仿宋_GB2312" w:cs="仿宋_GB2312"/>
          <w:sz w:val="28"/>
          <w:szCs w:val="28"/>
        </w:rPr>
        <w:t>4.1.2其他要求</w:t>
      </w:r>
      <w:bookmarkEnd w:id="36"/>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执行相关标准。</w:t>
      </w:r>
    </w:p>
    <w:p>
      <w:pPr>
        <w:pStyle w:val="4"/>
        <w:keepNext w:val="0"/>
        <w:spacing w:before="0" w:after="0" w:line="360" w:lineRule="auto"/>
        <w:rPr>
          <w:rFonts w:ascii="仿宋_GB2312" w:hAnsi="仿宋_GB2312" w:eastAsia="仿宋_GB2312" w:cs="仿宋_GB2312"/>
          <w:b/>
          <w:bCs/>
          <w:sz w:val="28"/>
          <w:szCs w:val="28"/>
        </w:rPr>
      </w:pPr>
      <w:bookmarkStart w:id="37" w:name="_Toc256000035"/>
      <w:r>
        <w:rPr>
          <w:rFonts w:ascii="仿宋_GB2312" w:hAnsi="仿宋_GB2312" w:eastAsia="仿宋_GB2312" w:cs="仿宋_GB2312"/>
          <w:sz w:val="28"/>
          <w:szCs w:val="28"/>
        </w:rPr>
        <w:t>4.1.3优选资质/优选指标</w:t>
      </w:r>
      <w:bookmarkEnd w:id="37"/>
    </w:p>
    <w:p>
      <w:pPr>
        <w:pStyle w:val="2"/>
        <w:keepNext w:val="0"/>
        <w:spacing w:before="0" w:after="0" w:line="360" w:lineRule="auto"/>
        <w:jc w:val="center"/>
        <w:rPr>
          <w:rFonts w:ascii="仿宋_GB2312" w:hAnsi="仿宋_GB2312" w:eastAsia="仿宋_GB2312" w:cs="仿宋_GB2312"/>
          <w:b/>
          <w:bCs/>
          <w:sz w:val="32"/>
          <w:szCs w:val="32"/>
        </w:rPr>
      </w:pPr>
      <w:bookmarkStart w:id="38" w:name="_Toc256000036"/>
      <w:r>
        <w:rPr>
          <w:rFonts w:ascii="仿宋_GB2312" w:hAnsi="仿宋_GB2312" w:eastAsia="仿宋_GB2312" w:cs="仿宋_GB2312"/>
          <w:kern w:val="36"/>
        </w:rPr>
        <w:t>5竣工验收要求</w:t>
      </w:r>
      <w:bookmarkEnd w:id="38"/>
    </w:p>
    <w:p>
      <w:pPr>
        <w:pStyle w:val="3"/>
        <w:keepNext w:val="0"/>
        <w:spacing w:before="0" w:after="0" w:line="360" w:lineRule="auto"/>
        <w:rPr>
          <w:rFonts w:ascii="仿宋_GB2312" w:hAnsi="仿宋_GB2312" w:eastAsia="仿宋_GB2312" w:cs="仿宋_GB2312"/>
          <w:b/>
          <w:bCs/>
          <w:sz w:val="28"/>
          <w:szCs w:val="28"/>
        </w:rPr>
      </w:pPr>
      <w:bookmarkStart w:id="39" w:name="_Toc256000037"/>
      <w:r>
        <w:rPr>
          <w:rFonts w:ascii="仿宋_GB2312" w:hAnsi="仿宋_GB2312" w:eastAsia="仿宋_GB2312" w:cs="仿宋_GB2312"/>
          <w:i w:val="0"/>
          <w:iCs w:val="0"/>
        </w:rPr>
        <w:t>5.1总体要求</w:t>
      </w:r>
      <w:bookmarkEnd w:id="39"/>
    </w:p>
    <w:tbl>
      <w:tblPr>
        <w:tblStyle w:val="9"/>
        <w:tblW w:w="5000" w:type="pct"/>
        <w:tblInd w:w="30" w:type="dxa"/>
        <w:tblLayout w:type="autofit"/>
        <w:tblCellMar>
          <w:top w:w="15" w:type="dxa"/>
          <w:left w:w="15" w:type="dxa"/>
          <w:bottom w:w="15" w:type="dxa"/>
          <w:right w:w="15" w:type="dxa"/>
        </w:tblCellMar>
      </w:tblPr>
      <w:tblGrid>
        <w:gridCol w:w="4535"/>
        <w:gridCol w:w="4535"/>
      </w:tblGrid>
      <w:tr>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验收名称</w:t>
            </w:r>
          </w:p>
        </w:tc>
        <w:tc>
          <w:tcPr>
            <w:tcW w:w="2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验收要求</w:t>
            </w:r>
          </w:p>
        </w:tc>
      </w:tr>
      <w:tr>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符合国家验收标准</w:t>
            </w:r>
          </w:p>
        </w:tc>
      </w:tr>
    </w:tbl>
    <w:p>
      <w:pPr>
        <w:pStyle w:val="3"/>
        <w:keepNext w:val="0"/>
        <w:spacing w:before="0" w:after="0" w:line="360" w:lineRule="auto"/>
        <w:rPr>
          <w:rFonts w:ascii="仿宋_GB2312" w:hAnsi="仿宋_GB2312" w:eastAsia="仿宋_GB2312" w:cs="仿宋_GB2312"/>
          <w:b/>
          <w:bCs/>
          <w:sz w:val="28"/>
          <w:szCs w:val="28"/>
        </w:rPr>
      </w:pPr>
      <w:bookmarkStart w:id="40" w:name="_Toc256000038"/>
      <w:r>
        <w:rPr>
          <w:rFonts w:ascii="仿宋_GB2312" w:hAnsi="仿宋_GB2312" w:eastAsia="仿宋_GB2312" w:cs="仿宋_GB2312"/>
          <w:i w:val="0"/>
          <w:iCs w:val="0"/>
        </w:rPr>
        <w:t>5.2具体要求</w:t>
      </w:r>
      <w:bookmarkEnd w:id="40"/>
    </w:p>
    <w:p>
      <w:pPr>
        <w:pStyle w:val="12"/>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在项目施工期结束后组织验收，工程质量应符合国家有关工程施工验收规范、标准及合同约定。</w:t>
      </w:r>
    </w:p>
    <w:p>
      <w:pPr>
        <w:pStyle w:val="2"/>
        <w:keepNext w:val="0"/>
        <w:spacing w:before="0" w:after="0" w:line="360" w:lineRule="auto"/>
        <w:jc w:val="center"/>
        <w:rPr>
          <w:rFonts w:ascii="仿宋_GB2312" w:hAnsi="仿宋_GB2312" w:eastAsia="仿宋_GB2312" w:cs="仿宋_GB2312"/>
          <w:b/>
          <w:bCs/>
          <w:sz w:val="32"/>
          <w:szCs w:val="32"/>
        </w:rPr>
      </w:pPr>
      <w:bookmarkStart w:id="41" w:name="_Toc256000039"/>
      <w:r>
        <w:rPr>
          <w:rFonts w:ascii="仿宋_GB2312" w:hAnsi="仿宋_GB2312" w:eastAsia="仿宋_GB2312" w:cs="仿宋_GB2312"/>
          <w:kern w:val="36"/>
        </w:rPr>
        <w:t>6其他要求</w:t>
      </w:r>
      <w:bookmarkEnd w:id="41"/>
    </w:p>
    <w:p>
      <w:pPr>
        <w:pStyle w:val="3"/>
        <w:keepNext w:val="0"/>
        <w:spacing w:before="0" w:after="0" w:line="360" w:lineRule="auto"/>
        <w:rPr>
          <w:rFonts w:ascii="仿宋_GB2312" w:hAnsi="仿宋_GB2312" w:eastAsia="仿宋_GB2312" w:cs="仿宋_GB2312"/>
          <w:b/>
          <w:bCs/>
          <w:sz w:val="28"/>
          <w:szCs w:val="28"/>
        </w:rPr>
      </w:pPr>
      <w:bookmarkStart w:id="42" w:name="_Toc256000040"/>
      <w:r>
        <w:rPr>
          <w:rFonts w:ascii="仿宋_GB2312" w:hAnsi="仿宋_GB2312" w:eastAsia="仿宋_GB2312" w:cs="仿宋_GB2312"/>
          <w:i w:val="0"/>
          <w:iCs w:val="0"/>
        </w:rPr>
        <w:t>6.1保修责任</w:t>
      </w:r>
      <w:bookmarkEnd w:id="42"/>
    </w:p>
    <w:p>
      <w:pPr>
        <w:pStyle w:val="12"/>
        <w:spacing w:before="0" w:after="0" w:line="360" w:lineRule="auto"/>
        <w:ind w:firstLine="480"/>
        <w:rPr>
          <w:rFonts w:ascii="Times New Roman" w:hAnsi="Times New Roman" w:eastAsia="Times New Roman" w:cs="Times New Roman"/>
        </w:rPr>
      </w:pPr>
      <w:bookmarkStart w:id="43" w:name="_Toc256000041"/>
      <w:r>
        <w:rPr>
          <w:rFonts w:ascii="仿宋_GB2312" w:hAnsi="仿宋_GB2312" w:eastAsia="仿宋_GB2312" w:cs="仿宋_GB2312"/>
          <w:sz w:val="28"/>
          <w:szCs w:val="28"/>
        </w:rPr>
        <w:t>质量保修期2年，涉及防水工程的保修期为5年，其他维修按自治区有关规定执行，质量保修期从竣工验收合格之日算起。</w:t>
      </w:r>
    </w:p>
    <w:p>
      <w:pPr>
        <w:pStyle w:val="3"/>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i w:val="0"/>
          <w:iCs w:val="0"/>
        </w:rPr>
        <w:t>6.2付款安排</w:t>
      </w:r>
      <w:bookmarkEnd w:id="43"/>
    </w:p>
    <w:tbl>
      <w:tblPr>
        <w:tblStyle w:val="9"/>
        <w:tblW w:w="5000" w:type="pct"/>
        <w:tblInd w:w="30" w:type="dxa"/>
        <w:tblLayout w:type="autofit"/>
        <w:tblCellMar>
          <w:top w:w="15" w:type="dxa"/>
          <w:left w:w="15" w:type="dxa"/>
          <w:bottom w:w="15" w:type="dxa"/>
          <w:right w:w="15" w:type="dxa"/>
        </w:tblCellMar>
      </w:tblPr>
      <w:tblGrid>
        <w:gridCol w:w="1814"/>
        <w:gridCol w:w="5442"/>
        <w:gridCol w:w="1814"/>
      </w:tblGrid>
      <w:tr>
        <w:tblPrEx>
          <w:tblCellMar>
            <w:top w:w="15" w:type="dxa"/>
            <w:left w:w="15" w:type="dxa"/>
            <w:bottom w:w="15" w:type="dxa"/>
            <w:right w:w="15"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付款名称</w:t>
            </w:r>
          </w:p>
        </w:tc>
        <w:tc>
          <w:tcPr>
            <w:tcW w:w="3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付款要求</w:t>
            </w:r>
          </w:p>
        </w:tc>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付款比例(%)</w:t>
            </w:r>
          </w:p>
        </w:tc>
      </w:tr>
      <w:tr>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签订合同并且主要材料进场</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30.0</w:t>
            </w:r>
          </w:p>
        </w:tc>
      </w:tr>
      <w:tr>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按月支付进度款（实际支付金额低于合同金额30%以预付款抵扣，达到30%后按月支付不低于当月实际工程进度量的80%）</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50.0</w:t>
            </w:r>
          </w:p>
        </w:tc>
      </w:tr>
      <w:tr>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第3次付款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施工完成验收合格后</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20.0</w:t>
            </w:r>
          </w:p>
        </w:tc>
      </w:tr>
    </w:tbl>
    <w:p>
      <w:pPr>
        <w:pStyle w:val="3"/>
        <w:keepNext w:val="0"/>
        <w:spacing w:before="0" w:after="0" w:line="360" w:lineRule="auto"/>
        <w:rPr>
          <w:rFonts w:ascii="仿宋_GB2312" w:hAnsi="仿宋_GB2312" w:eastAsia="仿宋_GB2312" w:cs="仿宋_GB2312"/>
          <w:b/>
          <w:bCs/>
          <w:sz w:val="28"/>
          <w:szCs w:val="28"/>
        </w:rPr>
      </w:pPr>
      <w:bookmarkStart w:id="44" w:name="_Toc256000042"/>
      <w:r>
        <w:rPr>
          <w:rFonts w:ascii="仿宋_GB2312" w:hAnsi="仿宋_GB2312" w:eastAsia="仿宋_GB2312" w:cs="仿宋_GB2312"/>
          <w:i w:val="0"/>
          <w:iCs w:val="0"/>
        </w:rPr>
        <w:t>6.3其他要求</w:t>
      </w:r>
      <w:bookmarkEnd w:id="44"/>
    </w:p>
    <w:p>
      <w:pPr>
        <w:pStyle w:val="4"/>
        <w:keepNext w:val="0"/>
        <w:spacing w:before="0" w:after="0" w:line="360" w:lineRule="auto"/>
        <w:rPr>
          <w:rFonts w:ascii="仿宋_GB2312" w:hAnsi="仿宋_GB2312" w:eastAsia="仿宋_GB2312" w:cs="仿宋_GB2312"/>
          <w:b/>
          <w:bCs/>
          <w:sz w:val="28"/>
          <w:szCs w:val="28"/>
        </w:rPr>
      </w:pPr>
      <w:bookmarkStart w:id="45" w:name="_Toc256000043"/>
      <w:r>
        <w:rPr>
          <w:rFonts w:ascii="仿宋_GB2312" w:hAnsi="仿宋_GB2312" w:eastAsia="仿宋_GB2312" w:cs="仿宋_GB2312"/>
          <w:sz w:val="28"/>
          <w:szCs w:val="28"/>
        </w:rPr>
        <w:t>6.3.1保密要求</w:t>
      </w:r>
      <w:bookmarkEnd w:id="45"/>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除法律规定或合同另有约定外，未经发包人同意，承包人不得将发包人提供的图纸、文件以及声明需要保密的资料信息等泄露给第三方。除法律规定或合同另有约定外，未经承包人同意，发包人不得将承包人提供的技术方面需要保密的资料信息及声明需要保密的资料信息等泄露给第三方。</w:t>
      </w:r>
    </w:p>
    <w:p>
      <w:pPr>
        <w:spacing w:before="0" w:after="0" w:line="360" w:lineRule="auto"/>
        <w:rPr>
          <w:rFonts w:ascii="仿宋_GB2312" w:hAnsi="仿宋_GB2312" w:eastAsia="仿宋_GB2312" w:cs="仿宋_GB2312"/>
          <w:sz w:val="28"/>
          <w:szCs w:val="28"/>
        </w:rPr>
      </w:pPr>
    </w:p>
    <w:sectPr>
      <w:footerReference r:id="rId3" w:type="default"/>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360" w:lineRule="auto"/>
      <w:jc w:val="center"/>
    </w:pPr>
    <w:r>
      <w:fldChar w:fldCharType="begin"/>
    </w:r>
    <w:r>
      <w:instrText xml:space="preserve"> PAGE </w:instrText>
    </w:r>
    <w:r>
      <w:fldChar w:fldCharType="separate"/>
    </w:r>
    <w:r>
      <w:t>12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110D3555"/>
    <w:rsid w:val="2CF86197"/>
    <w:rsid w:val="37C514AB"/>
    <w:rsid w:val="65B27163"/>
    <w:rsid w:val="66304BCA"/>
    <w:rsid w:val="714023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qFormat/>
    <w:uiPriority w:val="0"/>
    <w:pPr>
      <w:keepNext/>
      <w:spacing w:before="240" w:after="60"/>
      <w:outlineLvl w:val="1"/>
    </w:pPr>
    <w:rPr>
      <w:rFonts w:ascii="Arial" w:hAnsi="Arial" w:cs="Arial"/>
      <w:b/>
      <w:bCs/>
      <w:i/>
      <w:iCs/>
      <w:sz w:val="28"/>
      <w:szCs w:val="28"/>
    </w:rPr>
  </w:style>
  <w:style w:type="paragraph" w:styleId="4">
    <w:name w:val="heading 3"/>
    <w:basedOn w:val="1"/>
    <w:next w:val="1"/>
    <w:qFormat/>
    <w:uiPriority w:val="0"/>
    <w:pPr>
      <w:keepNext/>
      <w:spacing w:before="240" w:after="60"/>
      <w:outlineLvl w:val="2"/>
    </w:pPr>
    <w:rPr>
      <w:rFonts w:ascii="Arial" w:hAnsi="Arial" w:cs="Arial"/>
      <w:b/>
      <w:bCs/>
      <w:sz w:val="26"/>
      <w:szCs w:val="26"/>
    </w:rPr>
  </w:style>
  <w:style w:type="paragraph" w:styleId="5">
    <w:name w:val="heading 4"/>
    <w:basedOn w:val="1"/>
    <w:next w:val="1"/>
    <w:qFormat/>
    <w:uiPriority w:val="0"/>
    <w:pPr>
      <w:keepNext/>
      <w:spacing w:before="240" w:after="60"/>
      <w:outlineLvl w:val="3"/>
    </w:pPr>
    <w:rPr>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toc 3"/>
    <w:basedOn w:val="1"/>
    <w:next w:val="1"/>
    <w:qFormat/>
    <w:uiPriority w:val="0"/>
    <w:pPr>
      <w:ind w:left="480"/>
    </w:pPr>
  </w:style>
  <w:style w:type="paragraph" w:styleId="7">
    <w:name w:val="toc 1"/>
    <w:basedOn w:val="1"/>
    <w:next w:val="1"/>
    <w:qFormat/>
    <w:uiPriority w:val="0"/>
  </w:style>
  <w:style w:type="paragraph" w:styleId="8">
    <w:name w:val="toc 2"/>
    <w:basedOn w:val="1"/>
    <w:next w:val="1"/>
    <w:qFormat/>
    <w:uiPriority w:val="0"/>
    <w:pPr>
      <w:ind w:left="240"/>
    </w:pPr>
  </w:style>
  <w:style w:type="character" w:styleId="11">
    <w:name w:val="Hyperlink"/>
    <w:basedOn w:val="10"/>
    <w:qFormat/>
    <w:uiPriority w:val="0"/>
    <w:rPr>
      <w:color w:val="0000FF"/>
      <w:u w:val="single"/>
    </w:rPr>
  </w:style>
  <w:style w:type="paragraph" w:customStyle="1" w:styleId="12">
    <w:name w:val="MsoNormal"/>
    <w:basedOn w:val="1"/>
    <w:qFormat/>
    <w:uiPriority w:val="0"/>
  </w:style>
  <w:style w:type="paragraph" w:customStyle="1" w:styleId="13">
    <w:name w:val="15"/>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12</Pages>
  <Words>0</Words>
  <Characters>0</Characters>
  <Lines>1</Lines>
  <Paragraphs>1</Paragraphs>
  <TotalTime>149</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2026-07-14T08:44:00Z</dcterms:created>
  <dc:creator>ZRJ</dc:creator>
  <cp:lastModifiedBy>赵原</cp:lastModifiedBy>
  <cp:lastPrinted>2026-07-14T09:04:00Z</cp:lastPrinted>
  <dcterms:modified xsi:type="dcterms:W3CDTF">2026-08-04T06:48:50Z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