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58" w:rsidRPr="001C0A0F" w:rsidRDefault="00717C58" w:rsidP="000876C6">
      <w:pPr>
        <w:spacing w:line="360" w:lineRule="auto"/>
        <w:rPr>
          <w:rFonts w:ascii="黑体" w:eastAsia="黑体" w:hAnsi="黑体"/>
          <w:sz w:val="30"/>
          <w:szCs w:val="30"/>
        </w:rPr>
      </w:pPr>
      <w:bookmarkStart w:id="0" w:name="_GoBack"/>
      <w:bookmarkEnd w:id="0"/>
    </w:p>
    <w:p w:rsidR="00717C58" w:rsidRPr="00C05E23" w:rsidRDefault="00163B7B" w:rsidP="000876C6">
      <w:pPr>
        <w:spacing w:line="360" w:lineRule="auto"/>
        <w:jc w:val="center"/>
        <w:rPr>
          <w:rFonts w:ascii="方正小标宋简体" w:eastAsia="方正小标宋简体" w:hAnsi="Times New Roman"/>
          <w:color w:val="000000" w:themeColor="text1"/>
          <w:sz w:val="36"/>
          <w:szCs w:val="36"/>
        </w:rPr>
      </w:pPr>
      <w:r w:rsidRPr="00C05E23">
        <w:rPr>
          <w:rFonts w:ascii="方正小标宋简体" w:eastAsia="方正小标宋简体" w:hAnsi="Times New Roman" w:hint="eastAsia"/>
          <w:color w:val="000000" w:themeColor="text1"/>
          <w:sz w:val="36"/>
          <w:szCs w:val="36"/>
        </w:rPr>
        <w:t>2020年</w:t>
      </w:r>
      <w:r w:rsidR="005324B5" w:rsidRPr="00C05E23">
        <w:rPr>
          <w:rFonts w:ascii="方正小标宋简体" w:eastAsia="方正小标宋简体" w:hAnsi="Times New Roman" w:hint="eastAsia"/>
          <w:color w:val="000000" w:themeColor="text1"/>
          <w:sz w:val="36"/>
          <w:szCs w:val="36"/>
        </w:rPr>
        <w:t>度</w:t>
      </w:r>
      <w:r w:rsidRPr="00C05E23">
        <w:rPr>
          <w:rFonts w:ascii="方正小标宋简体" w:eastAsia="方正小标宋简体" w:hAnsi="Times New Roman" w:hint="eastAsia"/>
          <w:color w:val="000000" w:themeColor="text1"/>
          <w:sz w:val="36"/>
          <w:szCs w:val="36"/>
        </w:rPr>
        <w:t>继续享受专项附加扣除</w:t>
      </w:r>
      <w:r w:rsidR="001F6C2F" w:rsidRPr="00C05E23">
        <w:rPr>
          <w:rFonts w:ascii="方正小标宋简体" w:eastAsia="方正小标宋简体" w:hAnsi="Times New Roman" w:hint="eastAsia"/>
          <w:color w:val="000000" w:themeColor="text1"/>
          <w:sz w:val="36"/>
          <w:szCs w:val="36"/>
        </w:rPr>
        <w:t>操作指引</w:t>
      </w:r>
    </w:p>
    <w:p w:rsidR="00717C58" w:rsidRPr="00C05E23" w:rsidRDefault="00C05E23" w:rsidP="000876C6">
      <w:pPr>
        <w:spacing w:line="360" w:lineRule="auto"/>
        <w:jc w:val="center"/>
        <w:rPr>
          <w:rFonts w:ascii="Times New Roman" w:hAnsi="Times New Roman"/>
          <w:color w:val="000000" w:themeColor="text1"/>
          <w:sz w:val="30"/>
          <w:szCs w:val="30"/>
        </w:rPr>
      </w:pPr>
      <w:r w:rsidRPr="00C05E23">
        <w:rPr>
          <w:rFonts w:ascii="方正小标宋简体" w:eastAsia="方正小标宋简体" w:hAnsi="Times New Roman" w:hint="eastAsia"/>
          <w:color w:val="000000" w:themeColor="text1"/>
          <w:sz w:val="36"/>
          <w:szCs w:val="36"/>
        </w:rPr>
        <w:t>（自然人税收管理系统扣缴客户端）</w:t>
      </w:r>
    </w:p>
    <w:p w:rsidR="000876C6" w:rsidRDefault="000876C6" w:rsidP="000876C6">
      <w:pPr>
        <w:spacing w:line="360" w:lineRule="auto"/>
        <w:ind w:firstLineChars="200" w:firstLine="640"/>
        <w:rPr>
          <w:rFonts w:ascii="仿宋_GB2312" w:eastAsia="仿宋_GB2312" w:hAnsi="Times New Roman"/>
          <w:color w:val="000000" w:themeColor="text1"/>
          <w:sz w:val="32"/>
          <w:szCs w:val="32"/>
        </w:rPr>
      </w:pPr>
    </w:p>
    <w:p w:rsidR="009453D1" w:rsidRPr="00C05E23" w:rsidRDefault="009453D1" w:rsidP="000876C6">
      <w:pPr>
        <w:spacing w:line="360" w:lineRule="auto"/>
        <w:ind w:firstLineChars="200" w:firstLine="640"/>
        <w:rPr>
          <w:rFonts w:ascii="仿宋_GB2312" w:eastAsia="仿宋_GB2312" w:hAnsi="Times New Roman"/>
          <w:color w:val="000000" w:themeColor="text1"/>
          <w:sz w:val="32"/>
          <w:szCs w:val="32"/>
        </w:rPr>
      </w:pPr>
      <w:r w:rsidRPr="00C05E23">
        <w:rPr>
          <w:rFonts w:ascii="仿宋_GB2312" w:eastAsia="仿宋_GB2312" w:hAnsi="Times New Roman" w:hint="eastAsia"/>
          <w:color w:val="000000" w:themeColor="text1"/>
          <w:sz w:val="32"/>
          <w:szCs w:val="32"/>
        </w:rPr>
        <w:t>为确保纳税人2020</w:t>
      </w:r>
      <w:r w:rsidR="009B3DD4">
        <w:rPr>
          <w:rFonts w:ascii="仿宋_GB2312" w:eastAsia="仿宋_GB2312" w:hAnsi="Times New Roman" w:hint="eastAsia"/>
          <w:color w:val="000000" w:themeColor="text1"/>
          <w:sz w:val="32"/>
          <w:szCs w:val="32"/>
        </w:rPr>
        <w:t>年继续享受专项附加扣除政策</w:t>
      </w:r>
      <w:r w:rsidRPr="00C05E23">
        <w:rPr>
          <w:rFonts w:ascii="仿宋_GB2312" w:eastAsia="仿宋_GB2312" w:hAnsi="Times New Roman" w:hint="eastAsia"/>
          <w:color w:val="000000" w:themeColor="text1"/>
          <w:sz w:val="32"/>
          <w:szCs w:val="32"/>
        </w:rPr>
        <w:t>，</w:t>
      </w:r>
      <w:r w:rsidR="00A77409" w:rsidRPr="00C05E23">
        <w:rPr>
          <w:rFonts w:ascii="仿宋_GB2312" w:eastAsia="仿宋_GB2312" w:hAnsi="Times New Roman" w:hint="eastAsia"/>
          <w:color w:val="000000" w:themeColor="text1"/>
          <w:sz w:val="32"/>
          <w:szCs w:val="32"/>
        </w:rPr>
        <w:t>自然人税收管理系统扣缴客户端新增了相关操作功能，</w:t>
      </w:r>
      <w:r w:rsidR="001F6C2F" w:rsidRPr="00C05E23">
        <w:rPr>
          <w:rFonts w:ascii="仿宋_GB2312" w:eastAsia="仿宋_GB2312" w:hAnsi="Times New Roman" w:hint="eastAsia"/>
          <w:color w:val="000000" w:themeColor="text1"/>
          <w:sz w:val="32"/>
          <w:szCs w:val="32"/>
        </w:rPr>
        <w:t>此前由扣缴单位采集（采集来源为【扣缴义务人】）专项附加扣除信息的，系统支持迁入上年度由本扣缴单位采集的数据，经</w:t>
      </w:r>
      <w:r w:rsidRPr="00C05E23">
        <w:rPr>
          <w:rFonts w:ascii="仿宋_GB2312" w:eastAsia="仿宋_GB2312" w:hAnsi="Times New Roman" w:hint="eastAsia"/>
          <w:color w:val="000000" w:themeColor="text1"/>
          <w:sz w:val="32"/>
          <w:szCs w:val="32"/>
        </w:rPr>
        <w:t>纳税人</w:t>
      </w:r>
      <w:r w:rsidR="001F6C2F" w:rsidRPr="00C05E23">
        <w:rPr>
          <w:rFonts w:ascii="仿宋_GB2312" w:eastAsia="仿宋_GB2312" w:hAnsi="Times New Roman" w:hint="eastAsia"/>
          <w:color w:val="000000" w:themeColor="text1"/>
          <w:sz w:val="32"/>
          <w:szCs w:val="32"/>
        </w:rPr>
        <w:t>核对无误并报送之后</w:t>
      </w:r>
      <w:r w:rsidR="00A77409" w:rsidRPr="00C05E23">
        <w:rPr>
          <w:rFonts w:ascii="仿宋_GB2312" w:eastAsia="仿宋_GB2312" w:hAnsi="Times New Roman" w:hint="eastAsia"/>
          <w:color w:val="000000" w:themeColor="text1"/>
          <w:sz w:val="32"/>
          <w:szCs w:val="32"/>
        </w:rPr>
        <w:t>，</w:t>
      </w:r>
      <w:r w:rsidR="001F6C2F" w:rsidRPr="00C05E23">
        <w:rPr>
          <w:rFonts w:ascii="仿宋_GB2312" w:eastAsia="仿宋_GB2312" w:hAnsi="Times New Roman" w:hint="eastAsia"/>
          <w:color w:val="000000" w:themeColor="text1"/>
          <w:sz w:val="32"/>
          <w:szCs w:val="32"/>
        </w:rPr>
        <w:t>完成</w:t>
      </w:r>
      <w:r w:rsidRPr="00C05E23">
        <w:rPr>
          <w:rFonts w:ascii="仿宋_GB2312" w:eastAsia="仿宋_GB2312" w:hAnsi="Times New Roman" w:hint="eastAsia"/>
          <w:color w:val="000000" w:themeColor="text1"/>
          <w:sz w:val="32"/>
          <w:szCs w:val="32"/>
        </w:rPr>
        <w:t>2020年</w:t>
      </w:r>
      <w:r w:rsidR="005324B5" w:rsidRPr="00C05E23">
        <w:rPr>
          <w:rFonts w:ascii="仿宋_GB2312" w:eastAsia="仿宋_GB2312" w:hAnsi="Times New Roman" w:hint="eastAsia"/>
          <w:color w:val="000000" w:themeColor="text1"/>
          <w:sz w:val="32"/>
          <w:szCs w:val="32"/>
        </w:rPr>
        <w:t>度</w:t>
      </w:r>
      <w:r w:rsidRPr="00C05E23">
        <w:rPr>
          <w:rFonts w:ascii="仿宋_GB2312" w:eastAsia="仿宋_GB2312" w:hAnsi="Times New Roman" w:hint="eastAsia"/>
          <w:color w:val="000000" w:themeColor="text1"/>
          <w:sz w:val="32"/>
          <w:szCs w:val="32"/>
        </w:rPr>
        <w:t>继续享受专项附加扣除操作</w:t>
      </w:r>
      <w:r w:rsidR="001F6C2F" w:rsidRPr="00C05E23">
        <w:rPr>
          <w:rFonts w:ascii="仿宋_GB2312" w:eastAsia="仿宋_GB2312" w:hAnsi="Times New Roman" w:hint="eastAsia"/>
          <w:color w:val="000000" w:themeColor="text1"/>
          <w:sz w:val="32"/>
          <w:szCs w:val="32"/>
        </w:rPr>
        <w:t>。</w:t>
      </w:r>
    </w:p>
    <w:p w:rsidR="00717C58" w:rsidRPr="00026FF4" w:rsidRDefault="009453D1" w:rsidP="00026FF4">
      <w:pPr>
        <w:pStyle w:val="1"/>
        <w:spacing w:before="0" w:after="0" w:line="360" w:lineRule="auto"/>
        <w:ind w:left="425"/>
        <w:rPr>
          <w:rFonts w:ascii="黑体" w:eastAsia="黑体" w:hAnsi="黑体"/>
          <w:b w:val="0"/>
          <w:sz w:val="30"/>
          <w:szCs w:val="30"/>
        </w:rPr>
      </w:pPr>
      <w:r w:rsidRPr="00026FF4">
        <w:rPr>
          <w:rFonts w:ascii="黑体" w:eastAsia="黑体" w:hAnsi="黑体" w:hint="eastAsia"/>
          <w:b w:val="0"/>
          <w:sz w:val="30"/>
          <w:szCs w:val="30"/>
        </w:rPr>
        <w:t>一、</w:t>
      </w:r>
      <w:r w:rsidR="001F6C2F" w:rsidRPr="00026FF4">
        <w:rPr>
          <w:rFonts w:ascii="黑体" w:eastAsia="黑体" w:hAnsi="黑体" w:hint="eastAsia"/>
          <w:b w:val="0"/>
          <w:sz w:val="30"/>
          <w:szCs w:val="30"/>
        </w:rPr>
        <w:t>迁入上年数据</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如果</w:t>
      </w:r>
      <w:r w:rsidR="009453D1" w:rsidRPr="001C0A0F">
        <w:rPr>
          <w:rFonts w:ascii="仿宋_GB2312" w:eastAsia="仿宋_GB2312" w:hint="eastAsia"/>
          <w:sz w:val="32"/>
          <w:szCs w:val="32"/>
        </w:rPr>
        <w:t>扣缴单位</w:t>
      </w:r>
      <w:r w:rsidRPr="001C0A0F">
        <w:rPr>
          <w:rFonts w:ascii="仿宋_GB2312" w:eastAsia="仿宋_GB2312" w:hAnsi="Times New Roman" w:hint="eastAsia"/>
          <w:sz w:val="32"/>
          <w:szCs w:val="32"/>
        </w:rPr>
        <w:t>2020</w:t>
      </w:r>
      <w:r w:rsidR="000876C6">
        <w:rPr>
          <w:rFonts w:ascii="仿宋_GB2312" w:eastAsia="仿宋_GB2312" w:hAnsi="Times New Roman" w:hint="eastAsia"/>
          <w:sz w:val="32"/>
          <w:szCs w:val="32"/>
        </w:rPr>
        <w:t>年度尚未采集过专项附加扣除信息的，可重采集并报送，也可通过【迁入上年数据】功能进行</w:t>
      </w:r>
      <w:r w:rsidRPr="001C0A0F">
        <w:rPr>
          <w:rFonts w:ascii="仿宋_GB2312" w:eastAsia="仿宋_GB2312" w:hAnsi="Times New Roman" w:hint="eastAsia"/>
          <w:sz w:val="32"/>
          <w:szCs w:val="32"/>
        </w:rPr>
        <w:t>。</w:t>
      </w:r>
    </w:p>
    <w:p w:rsidR="00717C58" w:rsidRPr="001C0A0F" w:rsidRDefault="001F6C2F" w:rsidP="000876C6">
      <w:pPr>
        <w:pStyle w:val="2"/>
        <w:numPr>
          <w:ilvl w:val="1"/>
          <w:numId w:val="2"/>
        </w:numPr>
        <w:spacing w:before="0" w:after="0" w:line="360" w:lineRule="auto"/>
        <w:ind w:left="709" w:hanging="142"/>
        <w:rPr>
          <w:rFonts w:ascii="楷体" w:eastAsia="楷体" w:hAnsi="楷体"/>
          <w:b w:val="0"/>
        </w:rPr>
      </w:pPr>
      <w:r w:rsidRPr="001C0A0F">
        <w:rPr>
          <w:rFonts w:ascii="楷体" w:eastAsia="楷体" w:hAnsi="楷体" w:hint="eastAsia"/>
          <w:b w:val="0"/>
        </w:rPr>
        <w:t>自动迁入</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如果</w:t>
      </w:r>
      <w:r w:rsidR="009453D1" w:rsidRPr="001C0A0F">
        <w:rPr>
          <w:rFonts w:ascii="仿宋_GB2312" w:eastAsia="仿宋_GB2312" w:hint="eastAsia"/>
          <w:sz w:val="32"/>
          <w:szCs w:val="32"/>
        </w:rPr>
        <w:t>扣缴单位</w:t>
      </w:r>
      <w:r w:rsidRPr="001C0A0F">
        <w:rPr>
          <w:rFonts w:ascii="仿宋_GB2312" w:eastAsia="仿宋_GB2312" w:hAnsi="Times New Roman" w:hint="eastAsia"/>
          <w:sz w:val="32"/>
          <w:szCs w:val="32"/>
        </w:rPr>
        <w:t>未曾采集过2020年度的专项附加扣除数据，通过切换扣除年度到2020年度之后，系统会弹出是否迁入上年数据的提示，可以选择【</w:t>
      </w:r>
      <w:r w:rsidRPr="001C0A0F">
        <w:rPr>
          <w:rFonts w:ascii="仿宋_GB2312" w:eastAsia="仿宋_GB2312" w:hAnsi="Times New Roman"/>
          <w:sz w:val="32"/>
          <w:szCs w:val="32"/>
        </w:rPr>
        <w:t>马上迁入</w:t>
      </w:r>
      <w:r w:rsidRPr="001C0A0F">
        <w:rPr>
          <w:rFonts w:ascii="仿宋_GB2312" w:eastAsia="仿宋_GB2312" w:hAnsi="Times New Roman" w:hint="eastAsia"/>
          <w:sz w:val="32"/>
          <w:szCs w:val="32"/>
        </w:rPr>
        <w:t>】，也可以选择【稍后迁入】通过手动的方式自行迁入。</w:t>
      </w:r>
    </w:p>
    <w:p w:rsidR="00717C58" w:rsidRPr="001C0A0F" w:rsidRDefault="00C05E23" w:rsidP="000876C6">
      <w:pPr>
        <w:spacing w:line="360" w:lineRule="auto"/>
        <w:jc w:val="center"/>
      </w:pPr>
      <w:r>
        <w:rPr>
          <w:noProof/>
        </w:rPr>
        <w:lastRenderedPageBreak/>
        <w:drawing>
          <wp:inline distT="0" distB="0" distL="0" distR="0">
            <wp:extent cx="4533265" cy="319087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265" cy="3190875"/>
                    </a:xfrm>
                    <a:prstGeom prst="rect">
                      <a:avLst/>
                    </a:prstGeom>
                    <a:noFill/>
                    <a:ln>
                      <a:noFill/>
                    </a:ln>
                  </pic:spPr>
                </pic:pic>
              </a:graphicData>
            </a:graphic>
          </wp:inline>
        </w:drawing>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迁入的上年数据中将不包含：</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纳税人采集的数据；</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扣除有效期不在下一年度的；</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纳税人已经离职的；</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纳税人的任职受雇关系为非“雇员”的；</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专项附加扣除的状态是“冻结”的；</w:t>
      </w:r>
    </w:p>
    <w:p w:rsidR="00717C58" w:rsidRPr="001C0A0F" w:rsidRDefault="001F6C2F" w:rsidP="000876C6">
      <w:pPr>
        <w:pStyle w:val="a6"/>
        <w:numPr>
          <w:ilvl w:val="0"/>
          <w:numId w:val="3"/>
        </w:numPr>
        <w:spacing w:line="360" w:lineRule="auto"/>
        <w:ind w:firstLineChars="0"/>
        <w:rPr>
          <w:rFonts w:ascii="仿宋_GB2312" w:eastAsia="仿宋_GB2312" w:hAnsi="Times New Roman"/>
          <w:sz w:val="32"/>
          <w:szCs w:val="32"/>
        </w:rPr>
      </w:pPr>
      <w:r w:rsidRPr="001C0A0F">
        <w:rPr>
          <w:rFonts w:ascii="仿宋_GB2312" w:eastAsia="仿宋_GB2312" w:hAnsi="Times New Roman" w:hint="eastAsia"/>
          <w:sz w:val="32"/>
          <w:szCs w:val="32"/>
        </w:rPr>
        <w:t>下一年度已采集了专项附加扣除数据的人员。</w:t>
      </w:r>
    </w:p>
    <w:p w:rsidR="00717C58" w:rsidRPr="001C0A0F" w:rsidRDefault="001F6C2F" w:rsidP="000876C6">
      <w:pPr>
        <w:pStyle w:val="2"/>
        <w:numPr>
          <w:ilvl w:val="1"/>
          <w:numId w:val="2"/>
        </w:numPr>
        <w:spacing w:before="0" w:after="0" w:line="360" w:lineRule="auto"/>
        <w:ind w:left="709" w:hanging="142"/>
        <w:rPr>
          <w:rFonts w:ascii="楷体" w:eastAsia="楷体" w:hAnsi="楷体"/>
          <w:b w:val="0"/>
        </w:rPr>
      </w:pPr>
      <w:r w:rsidRPr="001C0A0F">
        <w:rPr>
          <w:rFonts w:ascii="楷体" w:eastAsia="楷体" w:hAnsi="楷体" w:hint="eastAsia"/>
          <w:b w:val="0"/>
        </w:rPr>
        <w:t>手动迁入</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如果</w:t>
      </w:r>
      <w:r w:rsidR="009453D1" w:rsidRPr="001C0A0F">
        <w:rPr>
          <w:rFonts w:ascii="仿宋_GB2312" w:eastAsia="仿宋_GB2312" w:hint="eastAsia"/>
          <w:sz w:val="32"/>
          <w:szCs w:val="32"/>
        </w:rPr>
        <w:t>扣缴单位</w:t>
      </w:r>
      <w:r w:rsidRPr="001C0A0F">
        <w:rPr>
          <w:rFonts w:ascii="仿宋_GB2312" w:eastAsia="仿宋_GB2312" w:hAnsi="Times New Roman" w:hint="eastAsia"/>
          <w:sz w:val="32"/>
          <w:szCs w:val="32"/>
        </w:rPr>
        <w:t>没有迁入上年数据，或者迁入之后在上年又新增了人员需要重新迁入的，可以手动点击【迁入上年数据】按钮，系统将会对下一年度没有采集过专项附加扣除数据的人员进行迁入。</w:t>
      </w:r>
    </w:p>
    <w:p w:rsidR="00717C58" w:rsidRPr="001C0A0F" w:rsidRDefault="00C05E23" w:rsidP="000876C6">
      <w:pPr>
        <w:rPr>
          <w:rFonts w:ascii="仿宋_GB2312" w:eastAsia="仿宋_GB2312" w:hAnsi="Times New Roman"/>
          <w:sz w:val="32"/>
          <w:szCs w:val="32"/>
        </w:rPr>
      </w:pPr>
      <w:r>
        <w:rPr>
          <w:noProof/>
        </w:rPr>
        <w:lastRenderedPageBreak/>
        <w:drawing>
          <wp:inline distT="0" distB="0" distL="0" distR="0">
            <wp:extent cx="5272405" cy="225679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405" cy="2256790"/>
                    </a:xfrm>
                    <a:prstGeom prst="rect">
                      <a:avLst/>
                    </a:prstGeom>
                    <a:noFill/>
                    <a:ln>
                      <a:noFill/>
                    </a:ln>
                  </pic:spPr>
                </pic:pic>
              </a:graphicData>
            </a:graphic>
          </wp:inline>
        </w:drawing>
      </w:r>
    </w:p>
    <w:p w:rsidR="00717C58" w:rsidRPr="001C0A0F" w:rsidRDefault="001F6C2F" w:rsidP="000876C6">
      <w:pPr>
        <w:pStyle w:val="2"/>
        <w:numPr>
          <w:ilvl w:val="1"/>
          <w:numId w:val="2"/>
        </w:numPr>
        <w:spacing w:before="0" w:after="0" w:line="360" w:lineRule="auto"/>
        <w:ind w:left="709" w:hanging="142"/>
        <w:rPr>
          <w:rFonts w:ascii="楷体" w:eastAsia="楷体" w:hAnsi="楷体"/>
          <w:b w:val="0"/>
        </w:rPr>
      </w:pPr>
      <w:r w:rsidRPr="001C0A0F">
        <w:rPr>
          <w:rFonts w:ascii="楷体" w:eastAsia="楷体" w:hAnsi="楷体" w:hint="eastAsia"/>
          <w:b w:val="0"/>
        </w:rPr>
        <w:t>报送</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上年数据迁入成功之后，人员的专项附加扣除状态全部为“待报送”。系统会提示是否进行报送，</w:t>
      </w:r>
      <w:r w:rsidR="009453D1" w:rsidRPr="001C0A0F">
        <w:rPr>
          <w:rFonts w:ascii="仿宋_GB2312" w:eastAsia="仿宋_GB2312" w:hint="eastAsia"/>
          <w:sz w:val="32"/>
          <w:szCs w:val="32"/>
        </w:rPr>
        <w:t>扣缴单位</w:t>
      </w:r>
      <w:r w:rsidRPr="001C0A0F">
        <w:rPr>
          <w:rFonts w:ascii="仿宋_GB2312" w:eastAsia="仿宋_GB2312" w:hAnsi="Times New Roman" w:hint="eastAsia"/>
          <w:sz w:val="32"/>
          <w:szCs w:val="32"/>
        </w:rPr>
        <w:t>可以选择马上进行报送，也可以选择稍后进行报送。</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选择稍后报送的可以重新回到列表界面对“待报送”的信息进行核对。如果经确认部分数据无需再采集的，可以勾选该数据后直接点击【删除】。全部确认完毕之后，点击【报送】并【获取反馈】完成数据的采集。</w:t>
      </w:r>
    </w:p>
    <w:p w:rsidR="00717C58" w:rsidRPr="001C0A0F" w:rsidRDefault="00C05E23" w:rsidP="000876C6">
      <w:pPr>
        <w:spacing w:line="360" w:lineRule="auto"/>
        <w:rPr>
          <w:rFonts w:ascii="仿宋_GB2312" w:eastAsia="仿宋_GB2312" w:hAnsi="Times New Roman"/>
          <w:sz w:val="32"/>
          <w:szCs w:val="32"/>
        </w:rPr>
      </w:pPr>
      <w:r>
        <w:rPr>
          <w:noProof/>
        </w:rPr>
        <w:drawing>
          <wp:inline distT="0" distB="0" distL="0" distR="0">
            <wp:extent cx="5278755" cy="2444750"/>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755" cy="2444750"/>
                    </a:xfrm>
                    <a:prstGeom prst="rect">
                      <a:avLst/>
                    </a:prstGeom>
                    <a:noFill/>
                    <a:ln>
                      <a:noFill/>
                    </a:ln>
                  </pic:spPr>
                </pic:pic>
              </a:graphicData>
            </a:graphic>
          </wp:inline>
        </w:drawing>
      </w:r>
    </w:p>
    <w:p w:rsidR="00717C58" w:rsidRPr="001C0A0F" w:rsidRDefault="001F6C2F" w:rsidP="000876C6">
      <w:pPr>
        <w:spacing w:line="360" w:lineRule="auto"/>
        <w:ind w:firstLine="645"/>
        <w:rPr>
          <w:rFonts w:ascii="仿宋_GB2312" w:eastAsia="仿宋_GB2312" w:hAnsi="Times New Roman"/>
          <w:sz w:val="32"/>
          <w:szCs w:val="32"/>
        </w:rPr>
      </w:pPr>
      <w:r w:rsidRPr="001C0A0F">
        <w:rPr>
          <w:rFonts w:ascii="仿宋_GB2312" w:eastAsia="仿宋_GB2312" w:hint="eastAsia"/>
          <w:sz w:val="32"/>
          <w:szCs w:val="32"/>
        </w:rPr>
        <w:t>扣缴单位若不选择迁入上年数据的，需在专项附加扣除信息采集界面，重新采集2</w:t>
      </w:r>
      <w:r w:rsidRPr="001C0A0F">
        <w:rPr>
          <w:rFonts w:ascii="仿宋_GB2312" w:eastAsia="仿宋_GB2312"/>
          <w:sz w:val="32"/>
          <w:szCs w:val="32"/>
        </w:rPr>
        <w:t>020</w:t>
      </w:r>
      <w:r w:rsidRPr="001C0A0F">
        <w:rPr>
          <w:rFonts w:ascii="仿宋_GB2312" w:eastAsia="仿宋_GB2312" w:hint="eastAsia"/>
          <w:sz w:val="32"/>
          <w:szCs w:val="32"/>
        </w:rPr>
        <w:t>年度的专项附加扣除:</w:t>
      </w:r>
      <w:r w:rsidRPr="001C0A0F">
        <w:rPr>
          <w:rFonts w:ascii="仿宋_GB2312" w:eastAsia="仿宋_GB2312" w:hAnsi="Times New Roman" w:hint="eastAsia"/>
          <w:sz w:val="32"/>
          <w:szCs w:val="32"/>
        </w:rPr>
        <w:t xml:space="preserve"> </w:t>
      </w:r>
      <w:r w:rsidRPr="001C0A0F">
        <w:rPr>
          <w:rFonts w:ascii="仿宋_GB2312" w:eastAsia="仿宋_GB2312" w:hAnsi="Times New Roman"/>
          <w:sz w:val="32"/>
          <w:szCs w:val="32"/>
        </w:rPr>
        <w:t xml:space="preserve">   </w:t>
      </w:r>
      <w:r w:rsidR="00C05E23">
        <w:rPr>
          <w:rFonts w:ascii="仿宋_GB2312" w:eastAsia="仿宋_GB2312" w:hAnsi="Times New Roman"/>
          <w:noProof/>
          <w:sz w:val="32"/>
          <w:szCs w:val="32"/>
        </w:rPr>
        <w:lastRenderedPageBreak/>
        <w:drawing>
          <wp:inline distT="0" distB="0" distL="0" distR="0">
            <wp:extent cx="5266055" cy="18288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6055" cy="1828800"/>
                    </a:xfrm>
                    <a:prstGeom prst="rect">
                      <a:avLst/>
                    </a:prstGeom>
                    <a:noFill/>
                    <a:ln>
                      <a:noFill/>
                    </a:ln>
                  </pic:spPr>
                </pic:pic>
              </a:graphicData>
            </a:graphic>
          </wp:inline>
        </w:drawing>
      </w:r>
    </w:p>
    <w:p w:rsidR="00717C58" w:rsidRPr="001C0A0F" w:rsidRDefault="00717C58" w:rsidP="000876C6">
      <w:pPr>
        <w:spacing w:line="360" w:lineRule="auto"/>
        <w:rPr>
          <w:rFonts w:ascii="仿宋_GB2312" w:eastAsia="仿宋_GB2312" w:hAnsi="Times New Roman"/>
          <w:sz w:val="32"/>
          <w:szCs w:val="32"/>
        </w:rPr>
      </w:pPr>
    </w:p>
    <w:p w:rsidR="00717C58" w:rsidRPr="001C0A0F" w:rsidRDefault="001F6C2F" w:rsidP="000876C6">
      <w:pPr>
        <w:spacing w:line="360" w:lineRule="auto"/>
        <w:ind w:firstLine="645"/>
        <w:rPr>
          <w:rFonts w:ascii="仿宋_GB2312" w:eastAsia="仿宋_GB2312" w:hAnsi="Times New Roman"/>
          <w:sz w:val="32"/>
          <w:szCs w:val="32"/>
        </w:rPr>
      </w:pPr>
      <w:r w:rsidRPr="001C0A0F">
        <w:rPr>
          <w:rFonts w:ascii="仿宋_GB2312" w:eastAsia="仿宋_GB2312" w:hAnsi="Times New Roman" w:hint="eastAsia"/>
          <w:sz w:val="32"/>
          <w:szCs w:val="32"/>
        </w:rPr>
        <w:t>确认扣除年度为2</w:t>
      </w:r>
      <w:r w:rsidRPr="001C0A0F">
        <w:rPr>
          <w:rFonts w:ascii="仿宋_GB2312" w:eastAsia="仿宋_GB2312" w:hAnsi="Times New Roman"/>
          <w:sz w:val="32"/>
          <w:szCs w:val="32"/>
        </w:rPr>
        <w:t>020</w:t>
      </w:r>
      <w:r w:rsidRPr="001C0A0F">
        <w:rPr>
          <w:rFonts w:ascii="仿宋_GB2312" w:eastAsia="仿宋_GB2312" w:hAnsi="Times New Roman" w:hint="eastAsia"/>
          <w:sz w:val="32"/>
          <w:szCs w:val="32"/>
        </w:rPr>
        <w:t>年度，点击“添加”，新增单个纳人的专项附加扣除信息。</w:t>
      </w:r>
    </w:p>
    <w:p w:rsidR="00717C58" w:rsidRPr="001C0A0F" w:rsidRDefault="00C05E23" w:rsidP="000876C6">
      <w:pPr>
        <w:spacing w:line="360" w:lineRule="auto"/>
        <w:rPr>
          <w:rFonts w:ascii="仿宋_GB2312" w:eastAsia="仿宋_GB2312" w:hAnsi="Times New Roman"/>
          <w:sz w:val="32"/>
          <w:szCs w:val="32"/>
        </w:rPr>
      </w:pPr>
      <w:r>
        <w:rPr>
          <w:noProof/>
        </w:rPr>
        <w:drawing>
          <wp:inline distT="0" distB="0" distL="0" distR="0">
            <wp:extent cx="5272405" cy="2723515"/>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2405" cy="2723515"/>
                    </a:xfrm>
                    <a:prstGeom prst="rect">
                      <a:avLst/>
                    </a:prstGeom>
                    <a:noFill/>
                    <a:ln>
                      <a:noFill/>
                    </a:ln>
                  </pic:spPr>
                </pic:pic>
              </a:graphicData>
            </a:graphic>
          </wp:inline>
        </w:drawing>
      </w:r>
    </w:p>
    <w:p w:rsidR="00717C58" w:rsidRPr="001C0A0F" w:rsidRDefault="00717C58" w:rsidP="000876C6">
      <w:pPr>
        <w:spacing w:line="360" w:lineRule="auto"/>
        <w:rPr>
          <w:rFonts w:ascii="仿宋_GB2312" w:eastAsia="仿宋_GB2312" w:hAnsi="Times New Roman"/>
          <w:sz w:val="32"/>
          <w:szCs w:val="32"/>
        </w:rPr>
      </w:pPr>
    </w:p>
    <w:p w:rsidR="00717C58" w:rsidRPr="001C0A0F" w:rsidRDefault="001F6C2F" w:rsidP="000876C6">
      <w:pPr>
        <w:spacing w:line="360" w:lineRule="auto"/>
        <w:ind w:firstLine="645"/>
        <w:rPr>
          <w:rFonts w:ascii="仿宋_GB2312" w:eastAsia="仿宋_GB2312" w:hAnsi="Times New Roman"/>
          <w:sz w:val="32"/>
          <w:szCs w:val="32"/>
        </w:rPr>
      </w:pPr>
      <w:r w:rsidRPr="001C0A0F">
        <w:rPr>
          <w:rFonts w:ascii="仿宋_GB2312" w:eastAsia="仿宋_GB2312" w:hAnsi="Times New Roman" w:hint="eastAsia"/>
          <w:sz w:val="32"/>
          <w:szCs w:val="32"/>
        </w:rPr>
        <w:t>在对应扣除项目界面新增专项附加扣除信息，填写完毕后点击“保存”。</w:t>
      </w:r>
    </w:p>
    <w:p w:rsidR="00717C58" w:rsidRPr="001C0A0F" w:rsidRDefault="00C05E23" w:rsidP="000876C6">
      <w:pPr>
        <w:spacing w:line="360" w:lineRule="auto"/>
        <w:rPr>
          <w:rFonts w:ascii="仿宋_GB2312" w:eastAsia="仿宋_GB2312" w:hAnsi="Times New Roman"/>
          <w:sz w:val="32"/>
          <w:szCs w:val="32"/>
        </w:rPr>
      </w:pPr>
      <w:r>
        <w:rPr>
          <w:rFonts w:ascii="仿宋_GB2312" w:eastAsia="仿宋_GB2312" w:hAnsi="Times New Roman"/>
          <w:noProof/>
          <w:sz w:val="32"/>
          <w:szCs w:val="32"/>
        </w:rPr>
        <w:lastRenderedPageBreak/>
        <w:drawing>
          <wp:inline distT="0" distB="0" distL="0" distR="0">
            <wp:extent cx="5292090" cy="193929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4">
                      <a:extLst>
                        <a:ext uri="{28A0092B-C50C-407E-A947-70E740481C1C}">
                          <a14:useLocalDpi xmlns:a14="http://schemas.microsoft.com/office/drawing/2010/main" val="0"/>
                        </a:ext>
                      </a:extLst>
                    </a:blip>
                    <a:srcRect b="36360"/>
                    <a:stretch>
                      <a:fillRect/>
                    </a:stretch>
                  </pic:blipFill>
                  <pic:spPr bwMode="auto">
                    <a:xfrm>
                      <a:off x="0" y="0"/>
                      <a:ext cx="5292090" cy="1939290"/>
                    </a:xfrm>
                    <a:prstGeom prst="rect">
                      <a:avLst/>
                    </a:prstGeom>
                    <a:noFill/>
                    <a:ln>
                      <a:noFill/>
                    </a:ln>
                  </pic:spPr>
                </pic:pic>
              </a:graphicData>
            </a:graphic>
          </wp:inline>
        </w:drawing>
      </w:r>
    </w:p>
    <w:p w:rsidR="00717C58" w:rsidRPr="001C0A0F" w:rsidRDefault="001F6C2F" w:rsidP="000876C6">
      <w:pPr>
        <w:spacing w:line="360" w:lineRule="auto"/>
        <w:rPr>
          <w:rFonts w:ascii="仿宋_GB2312" w:eastAsia="仿宋_GB2312" w:hAnsi="Times New Roman"/>
          <w:sz w:val="32"/>
          <w:szCs w:val="32"/>
        </w:rPr>
      </w:pPr>
      <w:r w:rsidRPr="001C0A0F">
        <w:rPr>
          <w:rFonts w:ascii="仿宋_GB2312" w:eastAsia="仿宋_GB2312" w:hAnsi="Times New Roman" w:hint="eastAsia"/>
          <w:sz w:val="32"/>
          <w:szCs w:val="32"/>
        </w:rPr>
        <w:t xml:space="preserve"> </w:t>
      </w:r>
      <w:r w:rsidRPr="001C0A0F">
        <w:rPr>
          <w:rFonts w:ascii="仿宋_GB2312" w:eastAsia="仿宋_GB2312" w:hAnsi="Times New Roman"/>
          <w:sz w:val="32"/>
          <w:szCs w:val="32"/>
        </w:rPr>
        <w:t xml:space="preserve">   </w:t>
      </w:r>
      <w:r w:rsidRPr="001C0A0F">
        <w:rPr>
          <w:rFonts w:ascii="仿宋_GB2312" w:eastAsia="仿宋_GB2312" w:hAnsi="Times New Roman" w:hint="eastAsia"/>
          <w:sz w:val="32"/>
          <w:szCs w:val="32"/>
        </w:rPr>
        <w:t>点击“报送”并“获取反馈”，确认新增的专项附加扣除信息已报送成功。</w:t>
      </w:r>
    </w:p>
    <w:p w:rsidR="00717C58" w:rsidRPr="009453D1" w:rsidRDefault="001F6C2F" w:rsidP="000876C6">
      <w:pPr>
        <w:pStyle w:val="1"/>
        <w:spacing w:before="0" w:after="0" w:line="360" w:lineRule="auto"/>
        <w:ind w:left="425"/>
        <w:rPr>
          <w:rFonts w:ascii="黑体" w:eastAsia="黑体" w:hAnsi="黑体"/>
          <w:b w:val="0"/>
          <w:sz w:val="32"/>
          <w:szCs w:val="32"/>
        </w:rPr>
      </w:pPr>
      <w:r w:rsidRPr="001C0A0F">
        <w:rPr>
          <w:rFonts w:ascii="黑体" w:eastAsia="黑体" w:hAnsi="黑体" w:hint="eastAsia"/>
          <w:b w:val="0"/>
          <w:sz w:val="30"/>
          <w:szCs w:val="30"/>
        </w:rPr>
        <w:t xml:space="preserve"> </w:t>
      </w:r>
      <w:r w:rsidRPr="009453D1">
        <w:rPr>
          <w:rFonts w:ascii="黑体" w:eastAsia="黑体" w:hAnsi="黑体" w:hint="eastAsia"/>
          <w:b w:val="0"/>
          <w:sz w:val="32"/>
          <w:szCs w:val="32"/>
        </w:rPr>
        <w:t xml:space="preserve"> 二、专项附加扣除界面变化</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2020年度专项附加扣除采集界面将进行以下变化：升级后，原按照五个扣除项目展示的专项附加扣除采集界面将会合并到一个界面展示，方便办税人员按人进行专项附加扣除信息管理。</w:t>
      </w:r>
    </w:p>
    <w:p w:rsidR="00717C58" w:rsidRPr="001C0A0F" w:rsidRDefault="001F6C2F" w:rsidP="000876C6">
      <w:pPr>
        <w:pStyle w:val="2"/>
        <w:numPr>
          <w:ilvl w:val="1"/>
          <w:numId w:val="4"/>
        </w:numPr>
        <w:spacing w:before="0" w:after="0" w:line="360" w:lineRule="auto"/>
        <w:ind w:firstLine="0"/>
        <w:rPr>
          <w:rFonts w:ascii="楷体" w:eastAsia="楷体" w:hAnsi="楷体"/>
          <w:b w:val="0"/>
        </w:rPr>
      </w:pPr>
      <w:r w:rsidRPr="001C0A0F">
        <w:rPr>
          <w:rFonts w:ascii="楷体" w:eastAsia="楷体" w:hAnsi="楷体" w:hint="eastAsia"/>
          <w:b w:val="0"/>
        </w:rPr>
        <w:t>按人展示</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首页代扣代缴菜单下点击【专项附加扣除信息采集】，或者直接在常用功能里点击【专项附加扣除信息采集】进入专项附加扣除信息采集界面：</w:t>
      </w:r>
    </w:p>
    <w:p w:rsidR="00717C58" w:rsidRPr="001C0A0F" w:rsidRDefault="00C05E23" w:rsidP="000876C6">
      <w:pPr>
        <w:spacing w:line="360" w:lineRule="auto"/>
        <w:rPr>
          <w:rFonts w:ascii="仿宋_GB2312" w:eastAsia="仿宋_GB2312" w:hAnsi="Times New Roman"/>
          <w:sz w:val="32"/>
          <w:szCs w:val="32"/>
        </w:rPr>
      </w:pPr>
      <w:r>
        <w:rPr>
          <w:rFonts w:ascii="仿宋_GB2312" w:eastAsia="仿宋_GB2312" w:hAnsi="Times New Roman"/>
          <w:noProof/>
          <w:sz w:val="32"/>
          <w:szCs w:val="32"/>
        </w:rPr>
        <w:drawing>
          <wp:inline distT="0" distB="0" distL="0" distR="0">
            <wp:extent cx="5266055" cy="182880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6055" cy="1828800"/>
                    </a:xfrm>
                    <a:prstGeom prst="rect">
                      <a:avLst/>
                    </a:prstGeom>
                    <a:noFill/>
                    <a:ln>
                      <a:noFill/>
                    </a:ln>
                  </pic:spPr>
                </pic:pic>
              </a:graphicData>
            </a:graphic>
          </wp:inline>
        </w:drawing>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如果首页的税款所属月份属于2019年的，则进入后的</w:t>
      </w:r>
      <w:r w:rsidRPr="001C0A0F">
        <w:rPr>
          <w:rFonts w:ascii="仿宋_GB2312" w:eastAsia="仿宋_GB2312" w:hAnsi="Times New Roman" w:hint="eastAsia"/>
          <w:sz w:val="32"/>
          <w:szCs w:val="32"/>
        </w:rPr>
        <w:lastRenderedPageBreak/>
        <w:t>扣除年度默认显示的是2019年。如果首页的税款所属月份属于2020年的，则进入后的扣除年度默认显示的是2020年。</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这里的每一个功能都需要按人处理，即：</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【添加】采集单个纳税人的全部专项附加扣除信息。</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【删除】删除单个或多个纳税人的全部专项附加扣除信息。</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【报送】对单个或多个纳税人的全部专项附加扣除信息进行报送，已下载到的由纳税人自己采集的数据不再重新报送。</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【获取反馈】对单个或多个纳税人已报送但未反馈的数据获取反馈。</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下载更新】分为【选中人员】和【全部人员】,【选中人员】下载更新到的是选中人员各个渠道填报并指定给该扣缴义务人的全部专项附加扣除信息。【全部人员】下载更新到的则是全部人员各个渠道填报并指定给该扣缴义务人的全部专项附加扣除信息。</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【导出】可选择【选中人员】或【全部人员】进行专项附加扣除信息的导出，导出的也是选中人员或全部人员的全部专项附加扣除数据。</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双击列表上任一个人员的数据可以查看该人员的明细数据。</w:t>
      </w:r>
    </w:p>
    <w:p w:rsidR="00717C58" w:rsidRPr="001C0A0F" w:rsidRDefault="00C05E23" w:rsidP="000876C6">
      <w:pPr>
        <w:spacing w:line="360" w:lineRule="auto"/>
        <w:rPr>
          <w:rFonts w:ascii="仿宋_GB2312" w:eastAsia="仿宋_GB2312" w:hAnsi="Times New Roman"/>
          <w:sz w:val="32"/>
          <w:szCs w:val="32"/>
        </w:rPr>
      </w:pPr>
      <w:r>
        <w:rPr>
          <w:noProof/>
        </w:rPr>
        <w:lastRenderedPageBreak/>
        <w:drawing>
          <wp:inline distT="0" distB="0" distL="0" distR="0">
            <wp:extent cx="5278755" cy="2834005"/>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755" cy="2834005"/>
                    </a:xfrm>
                    <a:prstGeom prst="rect">
                      <a:avLst/>
                    </a:prstGeom>
                    <a:noFill/>
                    <a:ln>
                      <a:noFill/>
                    </a:ln>
                  </pic:spPr>
                </pic:pic>
              </a:graphicData>
            </a:graphic>
          </wp:inline>
        </w:drawing>
      </w:r>
    </w:p>
    <w:p w:rsidR="00717C58" w:rsidRPr="001C0A0F" w:rsidRDefault="00717C58" w:rsidP="000876C6">
      <w:pPr>
        <w:spacing w:line="360" w:lineRule="auto"/>
        <w:rPr>
          <w:rFonts w:ascii="仿宋_GB2312" w:eastAsia="仿宋_GB2312" w:hAnsi="Times New Roman"/>
          <w:sz w:val="32"/>
          <w:szCs w:val="32"/>
        </w:rPr>
      </w:pPr>
    </w:p>
    <w:p w:rsidR="00717C58" w:rsidRPr="001C0A0F" w:rsidRDefault="00C05E23" w:rsidP="000876C6">
      <w:pPr>
        <w:spacing w:line="360" w:lineRule="auto"/>
        <w:rPr>
          <w:rFonts w:ascii="仿宋_GB2312" w:eastAsia="仿宋_GB2312" w:hAnsi="Times New Roman"/>
          <w:sz w:val="32"/>
          <w:szCs w:val="32"/>
        </w:rPr>
      </w:pPr>
      <w:r>
        <w:rPr>
          <w:rFonts w:ascii="仿宋_GB2312" w:eastAsia="仿宋_GB2312" w:hAnsi="Times New Roman"/>
          <w:noProof/>
          <w:sz w:val="32"/>
          <w:szCs w:val="32"/>
        </w:rPr>
        <w:drawing>
          <wp:inline distT="0" distB="0" distL="0" distR="0">
            <wp:extent cx="5292090" cy="1939290"/>
            <wp:effectExtent l="0" t="0" r="0"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b="36360"/>
                    <a:stretch>
                      <a:fillRect/>
                    </a:stretch>
                  </pic:blipFill>
                  <pic:spPr bwMode="auto">
                    <a:xfrm>
                      <a:off x="0" y="0"/>
                      <a:ext cx="5292090" cy="1939290"/>
                    </a:xfrm>
                    <a:prstGeom prst="rect">
                      <a:avLst/>
                    </a:prstGeom>
                    <a:noFill/>
                    <a:ln>
                      <a:noFill/>
                    </a:ln>
                  </pic:spPr>
                </pic:pic>
              </a:graphicData>
            </a:graphic>
          </wp:inline>
        </w:drawing>
      </w:r>
    </w:p>
    <w:p w:rsidR="00717C58" w:rsidRPr="001C0A0F" w:rsidRDefault="001F6C2F" w:rsidP="000876C6">
      <w:pPr>
        <w:pStyle w:val="2"/>
        <w:numPr>
          <w:ilvl w:val="1"/>
          <w:numId w:val="4"/>
        </w:numPr>
        <w:spacing w:before="0" w:after="0" w:line="360" w:lineRule="auto"/>
        <w:ind w:firstLine="0"/>
        <w:rPr>
          <w:rFonts w:ascii="楷体" w:eastAsia="楷体" w:hAnsi="楷体"/>
          <w:b w:val="0"/>
        </w:rPr>
      </w:pPr>
      <w:r w:rsidRPr="001C0A0F">
        <w:rPr>
          <w:rFonts w:ascii="楷体" w:eastAsia="楷体" w:hAnsi="楷体" w:hint="eastAsia"/>
          <w:b w:val="0"/>
        </w:rPr>
        <w:t>明细界面</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打开明细界面，专项附加扣除信息按扣除项目分成不同的页面进行展示，配偶信息单独作为一个页面展示。</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配偶信息】新增“国籍（地区）”和“身份验证状态”字段。其中“国籍（地区）”为必录，如果证照类型是“居民身份证”的，则“国籍（地区）”自动带出“中国”，非“居民身份证”的，则默认是“-请选择-”。“身份验证状态”结果由税务局端返回。</w:t>
      </w:r>
    </w:p>
    <w:p w:rsidR="00A955F4" w:rsidRPr="001C0A0F" w:rsidRDefault="00C05E23" w:rsidP="000876C6">
      <w:pPr>
        <w:spacing w:line="360" w:lineRule="auto"/>
        <w:rPr>
          <w:rFonts w:ascii="仿宋_GB2312" w:eastAsia="仿宋_GB2312" w:hAnsi="Times New Roman"/>
          <w:sz w:val="32"/>
          <w:szCs w:val="32"/>
        </w:rPr>
      </w:pPr>
      <w:r>
        <w:rPr>
          <w:rFonts w:ascii="仿宋_GB2312" w:eastAsia="仿宋_GB2312" w:hAnsi="Times New Roman"/>
          <w:noProof/>
          <w:sz w:val="32"/>
          <w:szCs w:val="32"/>
        </w:rPr>
        <w:lastRenderedPageBreak/>
        <w:drawing>
          <wp:inline distT="0" distB="0" distL="0" distR="0">
            <wp:extent cx="5266055" cy="328168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6055" cy="3281680"/>
                    </a:xfrm>
                    <a:prstGeom prst="rect">
                      <a:avLst/>
                    </a:prstGeom>
                    <a:noFill/>
                    <a:ln>
                      <a:noFill/>
                    </a:ln>
                  </pic:spPr>
                </pic:pic>
              </a:graphicData>
            </a:graphic>
          </wp:inline>
        </w:drawing>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【子女教育】【住房贷款】【住房租金】【赡养老人】界面不再显示配偶信息。</w:t>
      </w:r>
    </w:p>
    <w:p w:rsidR="00717C58" w:rsidRPr="001C0A0F" w:rsidRDefault="001F6C2F" w:rsidP="000876C6">
      <w:pPr>
        <w:spacing w:line="360" w:lineRule="auto"/>
        <w:ind w:firstLineChars="200" w:firstLine="640"/>
        <w:rPr>
          <w:rFonts w:ascii="仿宋_GB2312" w:eastAsia="仿宋_GB2312" w:hAnsi="Times New Roman"/>
          <w:sz w:val="32"/>
          <w:szCs w:val="32"/>
        </w:rPr>
      </w:pPr>
      <w:r w:rsidRPr="001C0A0F">
        <w:rPr>
          <w:rFonts w:ascii="仿宋_GB2312" w:eastAsia="仿宋_GB2312" w:hAnsi="Times New Roman" w:hint="eastAsia"/>
          <w:sz w:val="32"/>
          <w:szCs w:val="32"/>
        </w:rPr>
        <w:t>各扣除项目的数据全部无误之后进行【保存】。</w:t>
      </w:r>
    </w:p>
    <w:p w:rsidR="00717C58" w:rsidRPr="001C0A0F" w:rsidRDefault="00C05E23" w:rsidP="000876C6">
      <w:pPr>
        <w:spacing w:line="360" w:lineRule="auto"/>
        <w:rPr>
          <w:rFonts w:ascii="仿宋_GB2312" w:eastAsia="仿宋_GB2312" w:hAnsi="Times New Roman"/>
          <w:sz w:val="32"/>
          <w:szCs w:val="32"/>
        </w:rPr>
      </w:pPr>
      <w:r>
        <w:rPr>
          <w:rFonts w:ascii="仿宋_GB2312" w:eastAsia="仿宋_GB2312" w:hAnsi="Times New Roman"/>
          <w:noProof/>
          <w:sz w:val="32"/>
          <w:szCs w:val="32"/>
        </w:rPr>
        <w:drawing>
          <wp:inline distT="0" distB="0" distL="0" distR="0">
            <wp:extent cx="5292090" cy="1939290"/>
            <wp:effectExtent l="0" t="0" r="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4">
                      <a:extLst>
                        <a:ext uri="{28A0092B-C50C-407E-A947-70E740481C1C}">
                          <a14:useLocalDpi xmlns:a14="http://schemas.microsoft.com/office/drawing/2010/main" val="0"/>
                        </a:ext>
                      </a:extLst>
                    </a:blip>
                    <a:srcRect b="36360"/>
                    <a:stretch>
                      <a:fillRect/>
                    </a:stretch>
                  </pic:blipFill>
                  <pic:spPr bwMode="auto">
                    <a:xfrm>
                      <a:off x="0" y="0"/>
                      <a:ext cx="5292090" cy="1939290"/>
                    </a:xfrm>
                    <a:prstGeom prst="rect">
                      <a:avLst/>
                    </a:prstGeom>
                    <a:noFill/>
                    <a:ln>
                      <a:noFill/>
                    </a:ln>
                  </pic:spPr>
                </pic:pic>
              </a:graphicData>
            </a:graphic>
          </wp:inline>
        </w:drawing>
      </w:r>
    </w:p>
    <w:p w:rsidR="00730586" w:rsidRDefault="001F6C2F" w:rsidP="000876C6">
      <w:pPr>
        <w:spacing w:line="360" w:lineRule="auto"/>
        <w:rPr>
          <w:rFonts w:ascii="仿宋_GB2312" w:eastAsia="仿宋_GB2312" w:hAnsi="Times New Roman"/>
          <w:b/>
          <w:sz w:val="32"/>
          <w:szCs w:val="32"/>
        </w:rPr>
      </w:pPr>
      <w:r w:rsidRPr="001C0A0F">
        <w:rPr>
          <w:rFonts w:ascii="仿宋_GB2312" w:eastAsia="仿宋_GB2312" w:hAnsi="Times New Roman" w:hint="eastAsia"/>
          <w:b/>
          <w:sz w:val="32"/>
          <w:szCs w:val="32"/>
        </w:rPr>
        <w:t xml:space="preserve">     注意事项：</w:t>
      </w:r>
    </w:p>
    <w:p w:rsidR="00CC60D5" w:rsidRDefault="00CC60D5" w:rsidP="00CC60D5">
      <w:pPr>
        <w:spacing w:line="360" w:lineRule="auto"/>
        <w:ind w:firstLine="650"/>
        <w:rPr>
          <w:rFonts w:ascii="仿宋_GB2312" w:eastAsia="仿宋_GB2312" w:hAnsi="Times New Roman"/>
          <w:sz w:val="32"/>
          <w:szCs w:val="32"/>
        </w:rPr>
      </w:pPr>
      <w:r>
        <w:rPr>
          <w:rFonts w:ascii="仿宋_GB2312" w:eastAsia="仿宋_GB2312" w:hAnsi="Times New Roman" w:hint="eastAsia"/>
          <w:sz w:val="32"/>
          <w:szCs w:val="32"/>
        </w:rPr>
        <w:t>如专项附加扣除信息属于</w:t>
      </w:r>
      <w:r w:rsidRPr="001C0A0F">
        <w:rPr>
          <w:rFonts w:ascii="仿宋_GB2312" w:eastAsia="仿宋_GB2312" w:hAnsi="Times New Roman" w:hint="eastAsia"/>
          <w:sz w:val="32"/>
          <w:szCs w:val="32"/>
        </w:rPr>
        <w:t>纳税人</w:t>
      </w:r>
      <w:r>
        <w:rPr>
          <w:rFonts w:ascii="仿宋_GB2312" w:eastAsia="仿宋_GB2312" w:hAnsi="Times New Roman" w:hint="eastAsia"/>
          <w:sz w:val="32"/>
          <w:szCs w:val="32"/>
        </w:rPr>
        <w:t>通过手机APP或者网页填报的，则扣缴义务人无法修改。如属于通过</w:t>
      </w:r>
      <w:r w:rsidRPr="001C0A0F">
        <w:rPr>
          <w:rFonts w:ascii="仿宋_GB2312" w:eastAsia="仿宋_GB2312" w:hAnsi="Times New Roman" w:hint="eastAsia"/>
          <w:sz w:val="32"/>
          <w:szCs w:val="32"/>
        </w:rPr>
        <w:t>“扣缴义务人”</w:t>
      </w:r>
      <w:r>
        <w:rPr>
          <w:rFonts w:ascii="仿宋_GB2312" w:eastAsia="仿宋_GB2312" w:hAnsi="Times New Roman" w:hint="eastAsia"/>
          <w:sz w:val="32"/>
          <w:szCs w:val="32"/>
        </w:rPr>
        <w:t>填报的，则可</w:t>
      </w:r>
      <w:r w:rsidRPr="001C0A0F">
        <w:rPr>
          <w:rFonts w:ascii="仿宋_GB2312" w:eastAsia="仿宋_GB2312" w:hAnsi="Times New Roman" w:hint="eastAsia"/>
          <w:sz w:val="32"/>
          <w:szCs w:val="32"/>
        </w:rPr>
        <w:t>编辑。</w:t>
      </w:r>
    </w:p>
    <w:p w:rsidR="00717C58" w:rsidRPr="001C0A0F" w:rsidRDefault="001F6C2F" w:rsidP="000876C6">
      <w:pPr>
        <w:pStyle w:val="1"/>
        <w:spacing w:before="0" w:after="0" w:line="360" w:lineRule="auto"/>
        <w:ind w:left="425"/>
        <w:rPr>
          <w:rFonts w:ascii="黑体" w:eastAsia="黑体" w:hAnsi="黑体"/>
          <w:b w:val="0"/>
          <w:sz w:val="32"/>
          <w:szCs w:val="32"/>
        </w:rPr>
      </w:pPr>
      <w:r w:rsidRPr="001C0A0F">
        <w:rPr>
          <w:rFonts w:ascii="黑体" w:eastAsia="黑体" w:hAnsi="黑体" w:hint="eastAsia"/>
          <w:b w:val="0"/>
          <w:sz w:val="32"/>
          <w:szCs w:val="32"/>
        </w:rPr>
        <w:t xml:space="preserve"> </w:t>
      </w:r>
      <w:r w:rsidR="00730586">
        <w:rPr>
          <w:rFonts w:ascii="黑体" w:eastAsia="黑体" w:hAnsi="黑体" w:hint="eastAsia"/>
          <w:b w:val="0"/>
          <w:sz w:val="32"/>
          <w:szCs w:val="32"/>
        </w:rPr>
        <w:t xml:space="preserve"> </w:t>
      </w:r>
      <w:r w:rsidRPr="001C0A0F">
        <w:rPr>
          <w:rFonts w:ascii="黑体" w:eastAsia="黑体" w:hAnsi="黑体" w:hint="eastAsia"/>
          <w:b w:val="0"/>
          <w:sz w:val="32"/>
          <w:szCs w:val="32"/>
        </w:rPr>
        <w:t>三、</w:t>
      </w:r>
      <w:r w:rsidR="005F59CF">
        <w:rPr>
          <w:rFonts w:ascii="黑体" w:eastAsia="黑体" w:hAnsi="黑体" w:hint="eastAsia"/>
          <w:b w:val="0"/>
          <w:sz w:val="32"/>
          <w:szCs w:val="32"/>
        </w:rPr>
        <w:t>特别说明事项</w:t>
      </w:r>
    </w:p>
    <w:p w:rsidR="005F59CF" w:rsidRPr="005F59CF" w:rsidRDefault="005F59CF" w:rsidP="000876C6">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sz w:val="32"/>
          <w:szCs w:val="32"/>
        </w:rPr>
        <w:t>.</w:t>
      </w:r>
      <w:r>
        <w:rPr>
          <w:rFonts w:ascii="仿宋_GB2312" w:eastAsia="仿宋_GB2312" w:hAnsi="Times New Roman" w:hint="eastAsia"/>
          <w:sz w:val="32"/>
          <w:szCs w:val="32"/>
        </w:rPr>
        <w:t>扣缴单位在迁入上年数据时，由扣缴单位采集的员工</w:t>
      </w:r>
      <w:r>
        <w:rPr>
          <w:rFonts w:ascii="仿宋_GB2312" w:eastAsia="仿宋_GB2312" w:hAnsi="Times New Roman" w:hint="eastAsia"/>
          <w:sz w:val="32"/>
          <w:szCs w:val="32"/>
        </w:rPr>
        <w:lastRenderedPageBreak/>
        <w:t>在2</w:t>
      </w:r>
      <w:r>
        <w:rPr>
          <w:rFonts w:ascii="仿宋_GB2312" w:eastAsia="仿宋_GB2312" w:hAnsi="Times New Roman"/>
          <w:sz w:val="32"/>
          <w:szCs w:val="32"/>
        </w:rPr>
        <w:t>020</w:t>
      </w:r>
      <w:r>
        <w:rPr>
          <w:rFonts w:ascii="仿宋_GB2312" w:eastAsia="仿宋_GB2312" w:hAnsi="Times New Roman" w:hint="eastAsia"/>
          <w:sz w:val="32"/>
          <w:szCs w:val="32"/>
        </w:rPr>
        <w:t>年</w:t>
      </w:r>
      <w:r>
        <w:rPr>
          <w:rFonts w:ascii="仿宋_GB2312" w:eastAsia="仿宋_GB2312" w:hAnsi="Times New Roman"/>
          <w:sz w:val="32"/>
          <w:szCs w:val="32"/>
        </w:rPr>
        <w:t>1</w:t>
      </w:r>
      <w:r>
        <w:rPr>
          <w:rFonts w:ascii="仿宋_GB2312" w:eastAsia="仿宋_GB2312" w:hAnsi="Times New Roman" w:hint="eastAsia"/>
          <w:sz w:val="32"/>
          <w:szCs w:val="32"/>
        </w:rPr>
        <w:t>月1日之前离职的，系统不会自动将改员工</w:t>
      </w:r>
      <w:r w:rsidR="001F42AD">
        <w:rPr>
          <w:rFonts w:ascii="仿宋_GB2312" w:eastAsia="仿宋_GB2312" w:hAnsi="Times New Roman" w:hint="eastAsia"/>
          <w:sz w:val="32"/>
          <w:szCs w:val="32"/>
        </w:rPr>
        <w:t>已采集的数据迁入到2</w:t>
      </w:r>
      <w:r w:rsidR="001F42AD">
        <w:rPr>
          <w:rFonts w:ascii="仿宋_GB2312" w:eastAsia="仿宋_GB2312" w:hAnsi="Times New Roman"/>
          <w:sz w:val="32"/>
          <w:szCs w:val="32"/>
        </w:rPr>
        <w:t>020</w:t>
      </w:r>
      <w:r w:rsidR="001F42AD">
        <w:rPr>
          <w:rFonts w:ascii="仿宋_GB2312" w:eastAsia="仿宋_GB2312" w:hAnsi="Times New Roman" w:hint="eastAsia"/>
          <w:sz w:val="32"/>
          <w:szCs w:val="32"/>
        </w:rPr>
        <w:t>年度。</w:t>
      </w:r>
    </w:p>
    <w:p w:rsidR="00730586" w:rsidRPr="00443227" w:rsidRDefault="001F42AD" w:rsidP="00443227">
      <w:pPr>
        <w:spacing w:line="360" w:lineRule="auto"/>
        <w:ind w:firstLineChars="200" w:firstLine="640"/>
        <w:rPr>
          <w:rFonts w:ascii="仿宋_GB2312" w:eastAsia="仿宋_GB2312" w:hAnsi="Times New Roman"/>
          <w:sz w:val="32"/>
          <w:szCs w:val="32"/>
        </w:rPr>
      </w:pPr>
      <w:bookmarkStart w:id="1" w:name="_Hlk24754034"/>
      <w:r w:rsidRPr="00443227">
        <w:rPr>
          <w:rFonts w:ascii="仿宋_GB2312" w:eastAsia="仿宋_GB2312" w:hAnsi="Times New Roman" w:hint="eastAsia"/>
          <w:sz w:val="32"/>
          <w:szCs w:val="32"/>
        </w:rPr>
        <w:t>2</w:t>
      </w:r>
      <w:r w:rsidRPr="00443227">
        <w:rPr>
          <w:rFonts w:ascii="仿宋_GB2312" w:eastAsia="仿宋_GB2312" w:hAnsi="Times New Roman"/>
          <w:sz w:val="32"/>
          <w:szCs w:val="32"/>
        </w:rPr>
        <w:t>.</w:t>
      </w:r>
      <w:r w:rsidR="00075858" w:rsidRPr="00443227">
        <w:rPr>
          <w:rFonts w:ascii="仿宋_GB2312" w:eastAsia="仿宋_GB2312" w:hAnsi="Times New Roman" w:hint="eastAsia"/>
          <w:sz w:val="32"/>
          <w:szCs w:val="32"/>
        </w:rPr>
        <w:t>若纳税人未及时进行2020年</w:t>
      </w:r>
      <w:r w:rsidR="002A3D2E" w:rsidRPr="00443227">
        <w:rPr>
          <w:rFonts w:ascii="仿宋_GB2312" w:eastAsia="仿宋_GB2312" w:hAnsi="Times New Roman" w:hint="eastAsia"/>
          <w:sz w:val="32"/>
          <w:szCs w:val="32"/>
        </w:rPr>
        <w:t>度</w:t>
      </w:r>
      <w:r w:rsidR="00075858" w:rsidRPr="00443227">
        <w:rPr>
          <w:rFonts w:ascii="仿宋_GB2312" w:eastAsia="仿宋_GB2312" w:hAnsi="Times New Roman" w:hint="eastAsia"/>
          <w:sz w:val="32"/>
          <w:szCs w:val="32"/>
        </w:rPr>
        <w:t>继续享受专项附加扣除操作，</w:t>
      </w:r>
      <w:r w:rsidR="001F6C2F" w:rsidRPr="00443227">
        <w:rPr>
          <w:rFonts w:ascii="仿宋_GB2312" w:eastAsia="仿宋_GB2312" w:hAnsi="Times New Roman" w:hint="eastAsia"/>
          <w:sz w:val="32"/>
          <w:szCs w:val="32"/>
        </w:rPr>
        <w:t>自2</w:t>
      </w:r>
      <w:r w:rsidR="001F6C2F" w:rsidRPr="00443227">
        <w:rPr>
          <w:rFonts w:ascii="仿宋_GB2312" w:eastAsia="仿宋_GB2312" w:hAnsi="Times New Roman"/>
          <w:sz w:val="32"/>
          <w:szCs w:val="32"/>
        </w:rPr>
        <w:t>020</w:t>
      </w:r>
      <w:r w:rsidR="001F6C2F" w:rsidRPr="00443227">
        <w:rPr>
          <w:rFonts w:ascii="仿宋_GB2312" w:eastAsia="仿宋_GB2312" w:hAnsi="Times New Roman" w:hint="eastAsia"/>
          <w:sz w:val="32"/>
          <w:szCs w:val="32"/>
        </w:rPr>
        <w:t>年1月起，系统默认带入2</w:t>
      </w:r>
      <w:r w:rsidR="001F6C2F" w:rsidRPr="00443227">
        <w:rPr>
          <w:rFonts w:ascii="仿宋_GB2312" w:eastAsia="仿宋_GB2312" w:hAnsi="Times New Roman"/>
          <w:sz w:val="32"/>
          <w:szCs w:val="32"/>
        </w:rPr>
        <w:t>020</w:t>
      </w:r>
      <w:r w:rsidR="001F6C2F" w:rsidRPr="00443227">
        <w:rPr>
          <w:rFonts w:ascii="仿宋_GB2312" w:eastAsia="仿宋_GB2312" w:hAnsi="Times New Roman" w:hint="eastAsia"/>
          <w:sz w:val="32"/>
          <w:szCs w:val="32"/>
        </w:rPr>
        <w:t>年度仍有效的专项附加扣除信息，纳税人可继续享受</w:t>
      </w:r>
      <w:bookmarkEnd w:id="1"/>
      <w:r w:rsidR="00730586" w:rsidRPr="00443227">
        <w:rPr>
          <w:rFonts w:ascii="仿宋_GB2312" w:eastAsia="仿宋_GB2312" w:hAnsi="Times New Roman" w:hint="eastAsia"/>
          <w:sz w:val="32"/>
          <w:szCs w:val="32"/>
        </w:rPr>
        <w:t>。</w:t>
      </w:r>
    </w:p>
    <w:p w:rsidR="00717C58" w:rsidRPr="00730586" w:rsidRDefault="00717C58" w:rsidP="000876C6">
      <w:pPr>
        <w:spacing w:line="360" w:lineRule="auto"/>
        <w:ind w:firstLine="645"/>
        <w:rPr>
          <w:rFonts w:ascii="仿宋_GB2312" w:eastAsia="仿宋_GB2312" w:hAnsi="Times New Roman"/>
          <w:sz w:val="32"/>
          <w:szCs w:val="32"/>
        </w:rPr>
      </w:pPr>
    </w:p>
    <w:p w:rsidR="00717C58" w:rsidRPr="001C0A0F" w:rsidRDefault="00717C58" w:rsidP="000876C6">
      <w:pPr>
        <w:spacing w:line="360" w:lineRule="auto"/>
        <w:rPr>
          <w:rFonts w:ascii="仿宋_GB2312" w:eastAsia="仿宋_GB2312" w:hAnsi="Times New Roman"/>
          <w:b/>
          <w:bCs/>
          <w:sz w:val="32"/>
          <w:szCs w:val="32"/>
        </w:rPr>
      </w:pPr>
    </w:p>
    <w:p w:rsidR="00717C58" w:rsidRPr="001C0A0F" w:rsidRDefault="00717C58" w:rsidP="000876C6">
      <w:pPr>
        <w:spacing w:line="360" w:lineRule="auto"/>
        <w:ind w:firstLine="579"/>
        <w:rPr>
          <w:rFonts w:ascii="仿宋_GB2312" w:eastAsia="仿宋_GB2312" w:hAnsi="Times New Roman"/>
          <w:sz w:val="32"/>
          <w:szCs w:val="32"/>
        </w:rPr>
      </w:pPr>
    </w:p>
    <w:sectPr w:rsidR="00717C58" w:rsidRPr="001C0A0F" w:rsidSect="00A266EA">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FC" w:rsidRDefault="007833FC">
      <w:r>
        <w:separator/>
      </w:r>
    </w:p>
  </w:endnote>
  <w:endnote w:type="continuationSeparator" w:id="0">
    <w:p w:rsidR="007833FC" w:rsidRDefault="0078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58" w:rsidRDefault="00AE02C4">
    <w:pPr>
      <w:pStyle w:val="a4"/>
      <w:jc w:val="center"/>
    </w:pPr>
    <w:r>
      <w:fldChar w:fldCharType="begin"/>
    </w:r>
    <w:r w:rsidR="001F6C2F">
      <w:instrText>PAGE   \* MERGEFORMAT</w:instrText>
    </w:r>
    <w:r>
      <w:fldChar w:fldCharType="separate"/>
    </w:r>
    <w:r w:rsidR="00234382" w:rsidRPr="00234382">
      <w:rPr>
        <w:noProof/>
        <w:lang w:val="zh-CN"/>
      </w:rPr>
      <w:t>1</w:t>
    </w:r>
    <w:r>
      <w:fldChar w:fldCharType="end"/>
    </w:r>
  </w:p>
  <w:p w:rsidR="00717C58" w:rsidRDefault="00717C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FC" w:rsidRDefault="007833FC">
      <w:r>
        <w:separator/>
      </w:r>
    </w:p>
  </w:footnote>
  <w:footnote w:type="continuationSeparator" w:id="0">
    <w:p w:rsidR="007833FC" w:rsidRDefault="00783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C6D2C"/>
    <w:multiLevelType w:val="multilevel"/>
    <w:tmpl w:val="22EC6D2C"/>
    <w:lvl w:ilvl="0">
      <w:start w:val="1"/>
      <w:numFmt w:val="chineseCountingThousand"/>
      <w:lvlText w:val="%1、"/>
      <w:lvlJc w:val="left"/>
      <w:pPr>
        <w:ind w:left="993" w:hanging="425"/>
      </w:pPr>
      <w:rPr>
        <w:rFonts w:hint="default"/>
      </w:rPr>
    </w:lvl>
    <w:lvl w:ilvl="1">
      <w:start w:val="1"/>
      <w:numFmt w:val="decimal"/>
      <w:lvlText w:val="%1.%2."/>
      <w:lvlJc w:val="left"/>
      <w:pPr>
        <w:ind w:left="1135" w:hanging="567"/>
      </w:pPr>
    </w:lvl>
    <w:lvl w:ilvl="2">
      <w:start w:val="1"/>
      <w:numFmt w:val="decimal"/>
      <w:lvlText w:val="%1.%2.%3."/>
      <w:lvlJc w:val="left"/>
      <w:pPr>
        <w:ind w:left="1277" w:hanging="709"/>
      </w:pPr>
    </w:lvl>
    <w:lvl w:ilvl="3">
      <w:start w:val="1"/>
      <w:numFmt w:val="decimal"/>
      <w:lvlText w:val="%1.%2.%3.%4."/>
      <w:lvlJc w:val="left"/>
      <w:pPr>
        <w:ind w:left="1419" w:hanging="851"/>
      </w:pPr>
    </w:lvl>
    <w:lvl w:ilvl="4">
      <w:start w:val="1"/>
      <w:numFmt w:val="decimal"/>
      <w:lvlText w:val="%1.%2.%3.%4.%5."/>
      <w:lvlJc w:val="left"/>
      <w:pPr>
        <w:ind w:left="1560" w:hanging="992"/>
      </w:pPr>
    </w:lvl>
    <w:lvl w:ilvl="5">
      <w:start w:val="1"/>
      <w:numFmt w:val="decimal"/>
      <w:lvlText w:val="%1.%2.%3.%4.%5.%6."/>
      <w:lvlJc w:val="left"/>
      <w:pPr>
        <w:ind w:left="1702" w:hanging="1134"/>
      </w:pPr>
    </w:lvl>
    <w:lvl w:ilvl="6">
      <w:start w:val="1"/>
      <w:numFmt w:val="decimal"/>
      <w:lvlText w:val="%1.%2.%3.%4.%5.%6.%7."/>
      <w:lvlJc w:val="left"/>
      <w:pPr>
        <w:ind w:left="1844" w:hanging="1276"/>
      </w:pPr>
    </w:lvl>
    <w:lvl w:ilvl="7">
      <w:start w:val="1"/>
      <w:numFmt w:val="decimal"/>
      <w:lvlText w:val="%1.%2.%3.%4.%5.%6.%7.%8."/>
      <w:lvlJc w:val="left"/>
      <w:pPr>
        <w:ind w:left="1986" w:hanging="1418"/>
      </w:pPr>
    </w:lvl>
    <w:lvl w:ilvl="8">
      <w:start w:val="1"/>
      <w:numFmt w:val="decimal"/>
      <w:lvlText w:val="%1.%2.%3.%4.%5.%6.%7.%8.%9."/>
      <w:lvlJc w:val="left"/>
      <w:pPr>
        <w:ind w:left="2127" w:hanging="1559"/>
      </w:pPr>
    </w:lvl>
  </w:abstractNum>
  <w:abstractNum w:abstractNumId="1">
    <w:nsid w:val="380974CB"/>
    <w:multiLevelType w:val="multilevel"/>
    <w:tmpl w:val="380974CB"/>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nsid w:val="4D07483F"/>
    <w:multiLevelType w:val="multilevel"/>
    <w:tmpl w:val="4D07483F"/>
    <w:lvl w:ilvl="0">
      <w:start w:val="1"/>
      <w:numFmt w:val="chineseCountingThousand"/>
      <w:lvlText w:val="(%1)"/>
      <w:lvlJc w:val="left"/>
      <w:pPr>
        <w:ind w:left="987" w:hanging="420"/>
      </w:pPr>
    </w:lvl>
    <w:lvl w:ilvl="1">
      <w:start w:val="1"/>
      <w:numFmt w:val="chineseCountingThousand"/>
      <w:lvlText w:val="(%2)"/>
      <w:lvlJc w:val="left"/>
      <w:pPr>
        <w:ind w:left="1130"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60B13B11"/>
    <w:multiLevelType w:val="multilevel"/>
    <w:tmpl w:val="60B13B11"/>
    <w:lvl w:ilvl="0">
      <w:start w:val="1"/>
      <w:numFmt w:val="decimal"/>
      <w:lvlText w:val="%1."/>
      <w:lvlJc w:val="left"/>
      <w:pPr>
        <w:ind w:left="425" w:hanging="425"/>
      </w:pPr>
      <w:rPr>
        <w:rFonts w:hint="default"/>
      </w:r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79074415"/>
    <w:multiLevelType w:val="multilevel"/>
    <w:tmpl w:val="7907441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C7"/>
    <w:rsid w:val="00026FF4"/>
    <w:rsid w:val="000272D5"/>
    <w:rsid w:val="00031271"/>
    <w:rsid w:val="00066F7B"/>
    <w:rsid w:val="00075858"/>
    <w:rsid w:val="000769E1"/>
    <w:rsid w:val="000876C6"/>
    <w:rsid w:val="00094BCD"/>
    <w:rsid w:val="000C157B"/>
    <w:rsid w:val="00133504"/>
    <w:rsid w:val="0013676B"/>
    <w:rsid w:val="00163B7B"/>
    <w:rsid w:val="00164D30"/>
    <w:rsid w:val="001703EF"/>
    <w:rsid w:val="00172037"/>
    <w:rsid w:val="00183D07"/>
    <w:rsid w:val="001910AD"/>
    <w:rsid w:val="001B18A6"/>
    <w:rsid w:val="001C0A0F"/>
    <w:rsid w:val="001F42AD"/>
    <w:rsid w:val="001F6C2F"/>
    <w:rsid w:val="00211F2D"/>
    <w:rsid w:val="00233DAC"/>
    <w:rsid w:val="00234382"/>
    <w:rsid w:val="00266BA9"/>
    <w:rsid w:val="002A3D2E"/>
    <w:rsid w:val="002A668E"/>
    <w:rsid w:val="002C4ED0"/>
    <w:rsid w:val="002D26AB"/>
    <w:rsid w:val="002D67D9"/>
    <w:rsid w:val="00301CF2"/>
    <w:rsid w:val="0032796D"/>
    <w:rsid w:val="00333F98"/>
    <w:rsid w:val="00340690"/>
    <w:rsid w:val="00374657"/>
    <w:rsid w:val="00397380"/>
    <w:rsid w:val="003A10B0"/>
    <w:rsid w:val="003A695E"/>
    <w:rsid w:val="003A7E18"/>
    <w:rsid w:val="003C7C75"/>
    <w:rsid w:val="00405A5D"/>
    <w:rsid w:val="004141C9"/>
    <w:rsid w:val="00422B20"/>
    <w:rsid w:val="00423C6E"/>
    <w:rsid w:val="00443227"/>
    <w:rsid w:val="00463FBA"/>
    <w:rsid w:val="0047282F"/>
    <w:rsid w:val="004B51AF"/>
    <w:rsid w:val="004B68DB"/>
    <w:rsid w:val="004D3DD2"/>
    <w:rsid w:val="004E50D2"/>
    <w:rsid w:val="004F5C0E"/>
    <w:rsid w:val="00512210"/>
    <w:rsid w:val="005324B5"/>
    <w:rsid w:val="00564D26"/>
    <w:rsid w:val="005A502C"/>
    <w:rsid w:val="005A6BF9"/>
    <w:rsid w:val="005C79D9"/>
    <w:rsid w:val="005F14B9"/>
    <w:rsid w:val="005F59CF"/>
    <w:rsid w:val="006234A0"/>
    <w:rsid w:val="0064416F"/>
    <w:rsid w:val="0066179E"/>
    <w:rsid w:val="006A1414"/>
    <w:rsid w:val="006A3FDC"/>
    <w:rsid w:val="006B533D"/>
    <w:rsid w:val="006C0E13"/>
    <w:rsid w:val="006E3FB1"/>
    <w:rsid w:val="0071286E"/>
    <w:rsid w:val="00717C58"/>
    <w:rsid w:val="007254A6"/>
    <w:rsid w:val="00730586"/>
    <w:rsid w:val="00740C0D"/>
    <w:rsid w:val="007441BC"/>
    <w:rsid w:val="007833FC"/>
    <w:rsid w:val="00791E5C"/>
    <w:rsid w:val="007C79DC"/>
    <w:rsid w:val="007D1ACF"/>
    <w:rsid w:val="007D7FB1"/>
    <w:rsid w:val="008048D8"/>
    <w:rsid w:val="0081672E"/>
    <w:rsid w:val="00822301"/>
    <w:rsid w:val="00882312"/>
    <w:rsid w:val="0089393F"/>
    <w:rsid w:val="008A4CA3"/>
    <w:rsid w:val="008A5137"/>
    <w:rsid w:val="008B6E33"/>
    <w:rsid w:val="008D49C7"/>
    <w:rsid w:val="009037D8"/>
    <w:rsid w:val="00942EFB"/>
    <w:rsid w:val="009453D1"/>
    <w:rsid w:val="009B3DD4"/>
    <w:rsid w:val="009C163C"/>
    <w:rsid w:val="009D1BE3"/>
    <w:rsid w:val="00A266EA"/>
    <w:rsid w:val="00A3357D"/>
    <w:rsid w:val="00A41328"/>
    <w:rsid w:val="00A5011E"/>
    <w:rsid w:val="00A77409"/>
    <w:rsid w:val="00A87F8A"/>
    <w:rsid w:val="00A955F4"/>
    <w:rsid w:val="00A96108"/>
    <w:rsid w:val="00AA1346"/>
    <w:rsid w:val="00AA4DCE"/>
    <w:rsid w:val="00AE02C4"/>
    <w:rsid w:val="00AE70B2"/>
    <w:rsid w:val="00AF151F"/>
    <w:rsid w:val="00B34299"/>
    <w:rsid w:val="00B4515E"/>
    <w:rsid w:val="00BA4A3C"/>
    <w:rsid w:val="00BD41BE"/>
    <w:rsid w:val="00BE08A7"/>
    <w:rsid w:val="00BF514C"/>
    <w:rsid w:val="00C05E23"/>
    <w:rsid w:val="00C25F4A"/>
    <w:rsid w:val="00C30ACB"/>
    <w:rsid w:val="00C3645E"/>
    <w:rsid w:val="00C6113F"/>
    <w:rsid w:val="00C732B1"/>
    <w:rsid w:val="00C75B10"/>
    <w:rsid w:val="00C83F59"/>
    <w:rsid w:val="00CC0D08"/>
    <w:rsid w:val="00CC60D5"/>
    <w:rsid w:val="00D02E22"/>
    <w:rsid w:val="00D03951"/>
    <w:rsid w:val="00E5001E"/>
    <w:rsid w:val="00E525DE"/>
    <w:rsid w:val="00E92437"/>
    <w:rsid w:val="00E926C7"/>
    <w:rsid w:val="00EC5ABD"/>
    <w:rsid w:val="00ED0DAB"/>
    <w:rsid w:val="00EF31D1"/>
    <w:rsid w:val="00F343A4"/>
    <w:rsid w:val="00F47D8D"/>
    <w:rsid w:val="00F53085"/>
    <w:rsid w:val="00F93220"/>
    <w:rsid w:val="00FC5715"/>
    <w:rsid w:val="00FC6AEB"/>
    <w:rsid w:val="755C2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E4865-B678-A847-8D26-87300628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6EA"/>
    <w:pPr>
      <w:widowControl w:val="0"/>
      <w:jc w:val="both"/>
    </w:pPr>
    <w:rPr>
      <w:kern w:val="2"/>
      <w:sz w:val="21"/>
      <w:szCs w:val="22"/>
    </w:rPr>
  </w:style>
  <w:style w:type="paragraph" w:styleId="1">
    <w:name w:val="heading 1"/>
    <w:basedOn w:val="a"/>
    <w:next w:val="a"/>
    <w:link w:val="1Char"/>
    <w:uiPriority w:val="9"/>
    <w:qFormat/>
    <w:rsid w:val="00A266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266EA"/>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A266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266EA"/>
    <w:rPr>
      <w:sz w:val="18"/>
      <w:szCs w:val="18"/>
    </w:rPr>
  </w:style>
  <w:style w:type="paragraph" w:styleId="a4">
    <w:name w:val="footer"/>
    <w:basedOn w:val="a"/>
    <w:link w:val="Char0"/>
    <w:uiPriority w:val="99"/>
    <w:unhideWhenUsed/>
    <w:qFormat/>
    <w:rsid w:val="00A266EA"/>
    <w:pPr>
      <w:tabs>
        <w:tab w:val="center" w:pos="4153"/>
        <w:tab w:val="right" w:pos="8306"/>
      </w:tabs>
      <w:snapToGrid w:val="0"/>
      <w:jc w:val="left"/>
    </w:pPr>
    <w:rPr>
      <w:sz w:val="18"/>
      <w:szCs w:val="18"/>
    </w:rPr>
  </w:style>
  <w:style w:type="paragraph" w:styleId="a5">
    <w:name w:val="header"/>
    <w:basedOn w:val="a"/>
    <w:link w:val="Char1"/>
    <w:uiPriority w:val="99"/>
    <w:unhideWhenUsed/>
    <w:rsid w:val="00A266EA"/>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
    <w:rsid w:val="00A266EA"/>
    <w:rPr>
      <w:b/>
      <w:bCs/>
      <w:kern w:val="44"/>
      <w:sz w:val="44"/>
      <w:szCs w:val="44"/>
    </w:rPr>
  </w:style>
  <w:style w:type="character" w:customStyle="1" w:styleId="2Char">
    <w:name w:val="标题 2 Char"/>
    <w:link w:val="2"/>
    <w:uiPriority w:val="9"/>
    <w:rsid w:val="00A266EA"/>
    <w:rPr>
      <w:rFonts w:ascii="Calibri Light" w:eastAsia="宋体" w:hAnsi="Calibri Light" w:cs="Times New Roman"/>
      <w:b/>
      <w:bCs/>
      <w:sz w:val="32"/>
      <w:szCs w:val="32"/>
    </w:rPr>
  </w:style>
  <w:style w:type="paragraph" w:styleId="a6">
    <w:name w:val="List Paragraph"/>
    <w:basedOn w:val="a"/>
    <w:uiPriority w:val="34"/>
    <w:qFormat/>
    <w:rsid w:val="00A266EA"/>
    <w:pPr>
      <w:ind w:firstLineChars="200" w:firstLine="420"/>
    </w:pPr>
  </w:style>
  <w:style w:type="character" w:customStyle="1" w:styleId="3Char">
    <w:name w:val="标题 3 Char"/>
    <w:link w:val="3"/>
    <w:uiPriority w:val="9"/>
    <w:rsid w:val="00A266EA"/>
    <w:rPr>
      <w:b/>
      <w:bCs/>
      <w:sz w:val="32"/>
      <w:szCs w:val="32"/>
    </w:rPr>
  </w:style>
  <w:style w:type="character" w:customStyle="1" w:styleId="Char1">
    <w:name w:val="页眉 Char"/>
    <w:link w:val="a5"/>
    <w:uiPriority w:val="99"/>
    <w:rsid w:val="00A266EA"/>
    <w:rPr>
      <w:sz w:val="18"/>
      <w:szCs w:val="18"/>
    </w:rPr>
  </w:style>
  <w:style w:type="character" w:customStyle="1" w:styleId="Char0">
    <w:name w:val="页脚 Char"/>
    <w:link w:val="a4"/>
    <w:uiPriority w:val="99"/>
    <w:rsid w:val="00A266EA"/>
    <w:rPr>
      <w:sz w:val="18"/>
      <w:szCs w:val="18"/>
    </w:rPr>
  </w:style>
  <w:style w:type="character" w:customStyle="1" w:styleId="Char">
    <w:name w:val="批注框文本 Char"/>
    <w:link w:val="a3"/>
    <w:uiPriority w:val="99"/>
    <w:semiHidden/>
    <w:qFormat/>
    <w:rsid w:val="00A26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733E1-6065-4CD0-9CD4-6FFFCD88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292</Words>
  <Characters>1667</Characters>
  <Application>Microsoft Office Word</Application>
  <DocSecurity>0</DocSecurity>
  <Lines>13</Lines>
  <Paragraphs>3</Paragraphs>
  <ScaleCrop>false</ScaleCrop>
  <Company>servyou</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hliang</dc:creator>
  <cp:lastModifiedBy>yao yuan</cp:lastModifiedBy>
  <cp:revision>7</cp:revision>
  <cp:lastPrinted>2019-11-12T11:39:00Z</cp:lastPrinted>
  <dcterms:created xsi:type="dcterms:W3CDTF">2019-12-04T10:59:00Z</dcterms:created>
  <dcterms:modified xsi:type="dcterms:W3CDTF">2019-12-07T12:55:00Z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