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34" w:line="560" w:lineRule="exact"/>
        <w:ind w:left="75"/>
        <w:textAlignment w:val="auto"/>
        <w:rPr>
          <w:rFonts w:hint="eastAsia" w:ascii="宋体" w:hAnsi="宋体" w:eastAsia="宋体" w:cs="宋体"/>
          <w:b/>
          <w:bCs/>
          <w:color w:val="auto"/>
          <w:spacing w:val="2"/>
          <w:sz w:val="21"/>
          <w:szCs w:val="21"/>
          <w:lang w:val="en-US" w:eastAsia="zh-CN"/>
        </w:rPr>
      </w:pPr>
      <w:r>
        <w:rPr>
          <w:rFonts w:ascii="宋体" w:hAnsi="宋体" w:eastAsia="宋体" w:cs="宋体"/>
          <w:b/>
          <w:bCs/>
          <w:color w:val="auto"/>
          <w:spacing w:val="2"/>
          <w:sz w:val="21"/>
          <w:szCs w:val="21"/>
        </w:rPr>
        <w:t>附件：</w:t>
      </w:r>
      <w:r>
        <w:rPr>
          <w:rFonts w:hint="eastAsia" w:ascii="宋体" w:hAnsi="宋体" w:eastAsia="宋体" w:cs="宋体"/>
          <w:b/>
          <w:bCs/>
          <w:color w:val="auto"/>
          <w:spacing w:val="2"/>
          <w:sz w:val="21"/>
          <w:szCs w:val="21"/>
          <w:lang w:val="en-US" w:eastAsia="zh-CN"/>
        </w:rPr>
        <w:t>1</w:t>
      </w:r>
      <w:bookmarkStart w:id="0" w:name="_GoBack"/>
      <w:bookmarkEnd w:id="0"/>
    </w:p>
    <w:p>
      <w:pPr>
        <w:keepNext w:val="0"/>
        <w:keepLines w:val="0"/>
        <w:pageBreakBefore w:val="0"/>
        <w:widowControl w:val="0"/>
        <w:kinsoku/>
        <w:wordWrap/>
        <w:overflowPunct/>
        <w:topLinePunct w:val="0"/>
        <w:autoSpaceDE/>
        <w:autoSpaceDN/>
        <w:bidi w:val="0"/>
        <w:spacing w:before="34" w:line="560" w:lineRule="exact"/>
        <w:ind w:left="75"/>
        <w:textAlignment w:val="auto"/>
        <w:rPr>
          <w:rFonts w:hint="eastAsia" w:ascii="宋体" w:hAnsi="宋体" w:eastAsia="宋体" w:cs="宋体"/>
          <w:b/>
          <w:bCs/>
          <w:color w:val="auto"/>
          <w:spacing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兴安盟2025年度“双随机、一公开”涉税领域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联合抽查检查工作方案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为贯彻落实《优化营商环境条例》，根据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国务院办公厅关于严格规范涉企行政检查的意见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国办发</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eastAsia="zh-CN"/>
        </w:rPr>
        <w:t>《兴安盟市场监管局关于印发〈兴安盟2025年度市场监管领域“双随机、一公开”部门联合抽查计划〉的通知》(兴市监办字〔2025〕129号)</w:t>
      </w:r>
      <w:r>
        <w:rPr>
          <w:rFonts w:hint="eastAsia" w:ascii="仿宋_GB2312" w:hAnsi="仿宋_GB2312" w:eastAsia="仿宋_GB2312" w:cs="仿宋_GB2312"/>
          <w:i w:val="0"/>
          <w:caps w:val="0"/>
          <w:color w:val="auto"/>
          <w:spacing w:val="0"/>
          <w:kern w:val="0"/>
          <w:sz w:val="32"/>
          <w:szCs w:val="32"/>
          <w:lang w:val="en-US" w:eastAsia="zh-CN" w:bidi="ar"/>
        </w:rPr>
        <w:t>，</w:t>
      </w:r>
      <w:r>
        <w:rPr>
          <w:rFonts w:hint="eastAsia" w:ascii="仿宋_GB2312" w:hAnsi="仿宋_GB2312" w:eastAsia="仿宋_GB2312" w:cs="仿宋_GB2312"/>
          <w:color w:val="auto"/>
          <w:sz w:val="32"/>
          <w:szCs w:val="32"/>
          <w:lang w:eastAsia="zh-CN"/>
        </w:rPr>
        <w:t>国家税务总局兴安盟税务局、</w:t>
      </w:r>
      <w:r>
        <w:rPr>
          <w:rFonts w:hint="eastAsia" w:ascii="仿宋_GB2312" w:hAnsi="仿宋_GB2312" w:eastAsia="仿宋_GB2312" w:cs="仿宋_GB2312"/>
          <w:i w:val="0"/>
          <w:caps w:val="0"/>
          <w:color w:val="auto"/>
          <w:spacing w:val="0"/>
          <w:kern w:val="0"/>
          <w:sz w:val="32"/>
          <w:szCs w:val="32"/>
          <w:lang w:val="en-US" w:eastAsia="zh-CN" w:bidi="ar"/>
        </w:rPr>
        <w:t>兴安盟市场监督管理局决定联合开展</w:t>
      </w:r>
      <w:r>
        <w:rPr>
          <w:rFonts w:hint="eastAsia" w:ascii="仿宋_GB2312" w:hAnsi="仿宋_GB2312" w:eastAsia="仿宋_GB2312" w:cs="仿宋_GB2312"/>
          <w:color w:val="auto"/>
          <w:sz w:val="32"/>
          <w:szCs w:val="32"/>
          <w:lang w:val="en-US" w:eastAsia="zh-CN"/>
        </w:rPr>
        <w:t>2025年度“双随机、一公开”涉税领域联合抽查检查工作</w:t>
      </w:r>
      <w:r>
        <w:rPr>
          <w:rFonts w:hint="eastAsia" w:ascii="仿宋_GB2312" w:hAnsi="仿宋_GB2312" w:eastAsia="仿宋_GB2312" w:cs="仿宋_GB2312"/>
          <w:i w:val="0"/>
          <w:caps w:val="0"/>
          <w:color w:val="auto"/>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一、任务名称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本次任务名称按照统一规范的原则，制定为：</w:t>
      </w:r>
      <w:r>
        <w:rPr>
          <w:rFonts w:hint="eastAsia" w:ascii="仿宋_GB2312" w:hAnsi="仿宋_GB2312" w:eastAsia="仿宋_GB2312" w:cs="仿宋_GB2312"/>
          <w:i w:val="0"/>
          <w:caps w:val="0"/>
          <w:color w:val="auto"/>
          <w:spacing w:val="0"/>
          <w:kern w:val="0"/>
          <w:sz w:val="32"/>
          <w:szCs w:val="32"/>
          <w:lang w:val="en-US" w:eastAsia="zh-CN" w:bidi="ar"/>
        </w:rPr>
        <w:t>兴安盟2025年涉税领域联合抽查检查，</w:t>
      </w:r>
      <w:r>
        <w:rPr>
          <w:rFonts w:hint="eastAsia" w:ascii="仿宋_GB2312" w:hAnsi="仿宋_GB2312" w:eastAsia="仿宋_GB2312" w:cs="仿宋_GB2312"/>
          <w:color w:val="auto"/>
          <w:sz w:val="32"/>
          <w:szCs w:val="32"/>
          <w:lang w:eastAsia="zh-CN"/>
        </w:rPr>
        <w:t>主要包括以下两个方面: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0"/>
          <w:sz w:val="32"/>
          <w:szCs w:val="32"/>
          <w:lang w:val="en-US" w:eastAsia="zh-CN"/>
        </w:rPr>
        <w:t>（一）国家税务总局兴安盟税务局</w:t>
      </w:r>
      <w:r>
        <w:rPr>
          <w:rFonts w:hint="eastAsia" w:ascii="仿宋_GB2312" w:hAnsi="仿宋_GB2312" w:eastAsia="仿宋_GB2312" w:cs="仿宋_GB2312"/>
          <w:color w:val="auto"/>
          <w:sz w:val="32"/>
          <w:szCs w:val="32"/>
          <w:lang w:val="en-US" w:eastAsia="zh-CN"/>
        </w:rPr>
        <w:t>：涉税事项检查。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（二）兴安盟</w:t>
      </w:r>
      <w:r>
        <w:rPr>
          <w:rFonts w:hint="eastAsia" w:ascii="仿宋_GB2312" w:hAnsi="仿宋_GB2312" w:eastAsia="仿宋_GB2312" w:cs="仿宋_GB2312"/>
          <w:i w:val="0"/>
          <w:caps w:val="0"/>
          <w:color w:val="auto"/>
          <w:spacing w:val="0"/>
          <w:kern w:val="0"/>
          <w:sz w:val="32"/>
          <w:szCs w:val="32"/>
          <w:lang w:val="en-US" w:eastAsia="zh-CN" w:bidi="ar"/>
        </w:rPr>
        <w:t>市场监督管理</w:t>
      </w:r>
      <w:r>
        <w:rPr>
          <w:rFonts w:hint="eastAsia" w:ascii="仿宋_GB2312" w:hAnsi="仿宋_GB2312" w:eastAsia="仿宋_GB2312" w:cs="仿宋_GB2312"/>
          <w:color w:val="auto"/>
          <w:sz w:val="32"/>
          <w:szCs w:val="32"/>
          <w:lang w:val="en-US" w:eastAsia="zh-CN"/>
        </w:rPr>
        <w:t>局抽查事项:登记事项检查；公示信息检查。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二、抽查检查比例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抽查范围：通过自治区国家企业信用信息公示系统（部门协同监管平台-内蒙古）信用风险分类模块推送企业信用分类等级名单中抽取。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抽查比例：按照协同监管平台信用风险类别，A类企业不低于0.5%比例抽取；B类企业不低于1%比例抽取；C类企业不低于5%比例抽取；D</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b w:val="0"/>
          <w:bCs w:val="0"/>
          <w:color w:val="auto"/>
          <w:kern w:val="0"/>
          <w:sz w:val="32"/>
          <w:szCs w:val="32"/>
          <w:shd w:val="clear" w:color="auto" w:fill="FFFFFF"/>
          <w:lang w:val="en-US" w:eastAsia="zh-CN"/>
        </w:rPr>
        <w:t>企业不低于10%比例抽取。为避免重复执法，盟本</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b w:val="0"/>
          <w:bCs w:val="0"/>
          <w:color w:val="auto"/>
          <w:kern w:val="0"/>
          <w:sz w:val="32"/>
          <w:szCs w:val="32"/>
          <w:shd w:val="clear" w:color="auto" w:fill="FFFFFF"/>
          <w:lang w:val="en-US" w:eastAsia="zh-CN"/>
        </w:rPr>
        <w:t>已经确定抽查的企业，原则上各旗县市本年度不再进行“双随机、一公开”抽查检查。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职责分工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录入年度计划任务。</w:t>
      </w:r>
      <w:r>
        <w:rPr>
          <w:rFonts w:hint="eastAsia" w:ascii="仿宋_GB2312" w:hAnsi="仿宋_GB2312" w:eastAsia="仿宋_GB2312" w:cs="仿宋_GB2312"/>
          <w:color w:val="auto"/>
          <w:sz w:val="32"/>
          <w:szCs w:val="32"/>
        </w:rPr>
        <w:t>本次抽查由</w:t>
      </w:r>
      <w:r>
        <w:rPr>
          <w:rFonts w:hint="eastAsia" w:ascii="仿宋_GB2312" w:hAnsi="仿宋_GB2312" w:eastAsia="仿宋_GB2312" w:cs="仿宋_GB2312"/>
          <w:color w:val="auto"/>
          <w:spacing w:val="-20"/>
          <w:sz w:val="32"/>
          <w:szCs w:val="32"/>
          <w:lang w:val="en-US" w:eastAsia="zh-CN"/>
        </w:rPr>
        <w:t>国家税务总局兴安盟税务局</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配合部门加强协作，</w:t>
      </w:r>
      <w:r>
        <w:rPr>
          <w:rFonts w:hint="eastAsia" w:ascii="仿宋_GB2312" w:hAnsi="仿宋_GB2312" w:eastAsia="仿宋_GB2312" w:cs="仿宋_GB2312"/>
          <w:color w:val="auto"/>
          <w:sz w:val="32"/>
          <w:szCs w:val="32"/>
        </w:rPr>
        <w:t>制定“双随机、一公开”抽查计划</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任务</w:t>
      </w:r>
      <w:r>
        <w:rPr>
          <w:rFonts w:hint="eastAsia" w:ascii="仿宋_GB2312" w:hAnsi="仿宋_GB2312" w:eastAsia="仿宋_GB2312" w:cs="仿宋_GB2312"/>
          <w:color w:val="auto"/>
          <w:sz w:val="32"/>
          <w:szCs w:val="32"/>
          <w:lang w:val="en-US" w:eastAsia="zh-CN"/>
        </w:rPr>
        <w:t>，牵头部门</w:t>
      </w:r>
      <w:r>
        <w:rPr>
          <w:rFonts w:hint="eastAsia" w:ascii="仿宋_GB2312" w:hAnsi="仿宋_GB2312" w:eastAsia="仿宋_GB2312" w:cs="仿宋_GB2312"/>
          <w:color w:val="auto"/>
          <w:sz w:val="32"/>
          <w:szCs w:val="32"/>
        </w:rPr>
        <w:t>通过“国家企业信用信息公</w:t>
      </w:r>
      <w:r>
        <w:rPr>
          <w:rFonts w:hint="eastAsia" w:ascii="仿宋_GB2312" w:hAnsi="仿宋_GB2312" w:eastAsia="仿宋_GB2312" w:cs="仿宋_GB2312"/>
          <w:color w:val="auto"/>
          <w:sz w:val="32"/>
          <w:szCs w:val="32"/>
          <w:lang w:eastAsia="zh-CN"/>
        </w:rPr>
        <w:t>示系</w:t>
      </w:r>
      <w:r>
        <w:rPr>
          <w:rFonts w:hint="eastAsia" w:ascii="仿宋_GB2312" w:hAnsi="仿宋_GB2312" w:eastAsia="仿宋_GB2312" w:cs="仿宋_GB2312"/>
          <w:color w:val="auto"/>
          <w:sz w:val="32"/>
          <w:szCs w:val="32"/>
        </w:rPr>
        <w:t>统”(部门协同监管平台—内蒙古)</w:t>
      </w:r>
      <w:r>
        <w:rPr>
          <w:rFonts w:hint="eastAsia" w:ascii="仿宋_GB2312" w:hAnsi="仿宋_GB2312" w:eastAsia="仿宋_GB2312" w:cs="仿宋_GB2312"/>
          <w:color w:val="auto"/>
          <w:sz w:val="32"/>
          <w:szCs w:val="32"/>
          <w:lang w:val="en-US" w:eastAsia="zh-CN"/>
        </w:rPr>
        <w:t>录入</w:t>
      </w:r>
      <w:r>
        <w:rPr>
          <w:rFonts w:hint="eastAsia" w:ascii="仿宋_GB2312" w:hAnsi="仿宋_GB2312" w:eastAsia="仿宋_GB2312" w:cs="仿宋_GB2312"/>
          <w:color w:val="auto"/>
          <w:sz w:val="32"/>
          <w:szCs w:val="32"/>
        </w:rPr>
        <w:t>“双随机、一公开”</w:t>
      </w:r>
      <w:r>
        <w:rPr>
          <w:rFonts w:hint="eastAsia" w:ascii="仿宋_GB2312" w:hAnsi="仿宋_GB2312" w:eastAsia="仿宋_GB2312" w:cs="仿宋_GB2312"/>
          <w:color w:val="auto"/>
          <w:sz w:val="32"/>
          <w:szCs w:val="32"/>
          <w:lang w:val="en-US" w:eastAsia="zh-CN"/>
        </w:rPr>
        <w:t>部门联合</w:t>
      </w:r>
      <w:r>
        <w:rPr>
          <w:rFonts w:hint="eastAsia" w:ascii="仿宋_GB2312" w:hAnsi="仿宋_GB2312" w:eastAsia="仿宋_GB2312" w:cs="仿宋_GB2312"/>
          <w:color w:val="auto"/>
          <w:sz w:val="32"/>
          <w:szCs w:val="32"/>
        </w:rPr>
        <w:t>抽查计划</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建立“两库”。</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监管对象相同、职责相近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原则，各部门协同一致，建立随机抽查检查对象名录库（子库），按照</w:t>
      </w:r>
      <w:r>
        <w:rPr>
          <w:rFonts w:hint="eastAsia" w:ascii="仿宋_GB2312" w:hAnsi="仿宋_GB2312" w:eastAsia="仿宋_GB2312" w:cs="仿宋_GB2312"/>
          <w:color w:val="auto"/>
          <w:sz w:val="32"/>
          <w:szCs w:val="32"/>
        </w:rPr>
        <w:t>随机原则，</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执法人员</w:t>
      </w:r>
      <w:r>
        <w:rPr>
          <w:rFonts w:hint="eastAsia" w:ascii="仿宋_GB2312" w:hAnsi="仿宋_GB2312" w:eastAsia="仿宋_GB2312" w:cs="仿宋_GB2312"/>
          <w:color w:val="auto"/>
          <w:sz w:val="32"/>
          <w:szCs w:val="32"/>
          <w:lang w:val="en-US" w:eastAsia="zh-CN"/>
        </w:rPr>
        <w:t>库（子库）</w:t>
      </w:r>
      <w:r>
        <w:rPr>
          <w:rFonts w:hint="eastAsia" w:ascii="仿宋_GB2312" w:hAnsi="仿宋_GB2312" w:eastAsia="仿宋_GB2312" w:cs="仿宋_GB2312"/>
          <w:color w:val="auto"/>
          <w:sz w:val="32"/>
          <w:szCs w:val="32"/>
        </w:rPr>
        <w:t>，组成联合检查组，按照各自职责，分工负责开展联合检查。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随机抽取。</w:t>
      </w:r>
      <w:r>
        <w:rPr>
          <w:rFonts w:hint="eastAsia" w:ascii="仿宋_GB2312" w:hAnsi="仿宋_GB2312" w:eastAsia="仿宋_GB2312" w:cs="仿宋_GB2312"/>
          <w:color w:val="auto"/>
          <w:sz w:val="32"/>
          <w:szCs w:val="32"/>
          <w:lang w:eastAsia="zh-CN"/>
        </w:rPr>
        <w:t>按照信用</w:t>
      </w:r>
      <w:r>
        <w:rPr>
          <w:rFonts w:hint="eastAsia" w:ascii="仿宋_GB2312" w:hAnsi="仿宋_GB2312" w:eastAsia="仿宋_GB2312" w:cs="仿宋_GB2312"/>
          <w:color w:val="auto"/>
          <w:sz w:val="32"/>
          <w:szCs w:val="32"/>
          <w:lang w:val="en-US" w:eastAsia="zh-CN"/>
        </w:rPr>
        <w:t>风险分级</w:t>
      </w:r>
      <w:r>
        <w:rPr>
          <w:rFonts w:hint="eastAsia" w:ascii="仿宋_GB2312" w:hAnsi="仿宋_GB2312" w:eastAsia="仿宋_GB2312" w:cs="仿宋_GB2312"/>
          <w:color w:val="auto"/>
          <w:sz w:val="32"/>
          <w:szCs w:val="32"/>
          <w:lang w:eastAsia="zh-CN"/>
        </w:rPr>
        <w:t>分类建立检查对象名录库（子库），在任务</w:t>
      </w:r>
      <w:r>
        <w:rPr>
          <w:rFonts w:hint="eastAsia" w:ascii="仿宋_GB2312" w:hAnsi="仿宋_GB2312" w:eastAsia="仿宋_GB2312" w:cs="仿宋_GB2312"/>
          <w:color w:val="auto"/>
          <w:sz w:val="32"/>
          <w:szCs w:val="32"/>
          <w:lang w:val="en-US" w:eastAsia="zh-CN"/>
        </w:rPr>
        <w:t>抽取</w:t>
      </w:r>
      <w:r>
        <w:rPr>
          <w:rFonts w:hint="eastAsia" w:ascii="仿宋_GB2312" w:hAnsi="仿宋_GB2312" w:eastAsia="仿宋_GB2312" w:cs="仿宋_GB2312"/>
          <w:color w:val="auto"/>
          <w:sz w:val="32"/>
          <w:szCs w:val="32"/>
          <w:lang w:eastAsia="zh-CN"/>
        </w:rPr>
        <w:t>中点击信用分类抽取设置</w:t>
      </w:r>
      <w:r>
        <w:rPr>
          <w:rFonts w:hint="eastAsia" w:ascii="仿宋_GB2312" w:hAnsi="仿宋_GB2312" w:eastAsia="仿宋_GB2312" w:cs="仿宋_GB2312"/>
          <w:color w:val="auto"/>
          <w:sz w:val="32"/>
          <w:szCs w:val="32"/>
          <w:lang w:val="en-US" w:eastAsia="zh-CN"/>
        </w:rPr>
        <w:t>模块，</w:t>
      </w:r>
      <w:r>
        <w:rPr>
          <w:rFonts w:hint="eastAsia" w:ascii="仿宋_GB2312" w:hAnsi="仿宋_GB2312" w:eastAsia="仿宋_GB2312" w:cs="仿宋_GB2312"/>
          <w:color w:val="auto"/>
          <w:sz w:val="32"/>
          <w:szCs w:val="32"/>
          <w:lang w:eastAsia="zh-CN"/>
        </w:rPr>
        <w:t>将多个信用风险</w:t>
      </w:r>
      <w:r>
        <w:rPr>
          <w:rFonts w:hint="eastAsia" w:ascii="仿宋_GB2312" w:hAnsi="仿宋_GB2312" w:eastAsia="仿宋_GB2312" w:cs="仿宋_GB2312"/>
          <w:color w:val="auto"/>
          <w:sz w:val="32"/>
          <w:szCs w:val="32"/>
          <w:lang w:val="en-US" w:eastAsia="zh-CN"/>
        </w:rPr>
        <w:t>分类</w:t>
      </w:r>
      <w:r>
        <w:rPr>
          <w:rFonts w:hint="eastAsia" w:ascii="仿宋_GB2312" w:hAnsi="仿宋_GB2312" w:eastAsia="仿宋_GB2312" w:cs="仿宋_GB2312"/>
          <w:color w:val="auto"/>
          <w:sz w:val="32"/>
          <w:szCs w:val="32"/>
          <w:lang w:eastAsia="zh-CN"/>
        </w:rPr>
        <w:t>子库导入并分别设置抽取比例，提高企业信用风险分类结果占比。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检查结果录入和公示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按照“谁检查、谁录入、谁公开”的原则，</w:t>
      </w:r>
      <w:r>
        <w:rPr>
          <w:rFonts w:hint="eastAsia" w:ascii="仿宋_GB2312" w:hAnsi="仿宋_GB2312" w:eastAsia="仿宋_GB2312" w:cs="仿宋_GB2312"/>
          <w:color w:val="auto"/>
          <w:sz w:val="32"/>
          <w:szCs w:val="32"/>
          <w:lang w:val="en-US" w:eastAsia="zh-CN"/>
        </w:rPr>
        <w:t>检查</w:t>
      </w:r>
      <w:r>
        <w:rPr>
          <w:rFonts w:hint="eastAsia" w:ascii="仿宋_GB2312" w:hAnsi="仿宋_GB2312" w:eastAsia="仿宋_GB2312" w:cs="仿宋_GB2312"/>
          <w:color w:val="auto"/>
          <w:sz w:val="32"/>
          <w:szCs w:val="32"/>
        </w:rPr>
        <w:t>部门在</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检查任务</w:t>
      </w:r>
      <w:r>
        <w:rPr>
          <w:rFonts w:hint="eastAsia" w:ascii="仿宋_GB2312" w:hAnsi="仿宋_GB2312" w:eastAsia="仿宋_GB2312" w:cs="仿宋_GB2312"/>
          <w:color w:val="auto"/>
          <w:sz w:val="32"/>
          <w:szCs w:val="32"/>
          <w:lang w:val="en-US" w:eastAsia="zh-CN"/>
        </w:rPr>
        <w:t>之日起20</w:t>
      </w:r>
      <w:r>
        <w:rPr>
          <w:rFonts w:hint="eastAsia" w:ascii="仿宋_GB2312" w:hAnsi="仿宋_GB2312" w:eastAsia="仿宋_GB2312" w:cs="仿宋_GB2312"/>
          <w:color w:val="auto"/>
          <w:sz w:val="32"/>
          <w:szCs w:val="32"/>
        </w:rPr>
        <w:t>个工作日内，通过</w:t>
      </w:r>
      <w:r>
        <w:rPr>
          <w:rFonts w:hint="eastAsia" w:ascii="仿宋_GB2312" w:hAnsi="仿宋_GB2312" w:eastAsia="仿宋_GB2312" w:cs="仿宋_GB2312"/>
          <w:color w:val="auto"/>
          <w:sz w:val="32"/>
          <w:szCs w:val="32"/>
          <w:lang w:val="en-US" w:eastAsia="zh-CN"/>
        </w:rPr>
        <w:t>监管平台录入并公示抽查</w:t>
      </w:r>
      <w:r>
        <w:rPr>
          <w:rFonts w:hint="eastAsia" w:ascii="仿宋_GB2312" w:hAnsi="仿宋_GB2312" w:eastAsia="仿宋_GB2312" w:cs="仿宋_GB2312"/>
          <w:color w:val="auto"/>
          <w:sz w:val="32"/>
          <w:szCs w:val="32"/>
        </w:rPr>
        <w:t>检查结果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val="en-US" w:eastAsia="zh-CN"/>
        </w:rPr>
        <w:t>市场监督管理</w:t>
      </w:r>
      <w:r>
        <w:rPr>
          <w:rFonts w:hint="eastAsia" w:ascii="仿宋_GB2312" w:hAnsi="仿宋_GB2312" w:eastAsia="仿宋_GB2312" w:cs="仿宋_GB2312"/>
          <w:color w:val="auto"/>
          <w:sz w:val="32"/>
          <w:szCs w:val="32"/>
          <w:lang w:val="en-US" w:eastAsia="zh-CN"/>
        </w:rPr>
        <w:t>局将监管平台的抽查检查结果信息推送至自治区社会信用信息平台，并向社会公示。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四、工作阶段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本次</w:t>
      </w:r>
      <w:r>
        <w:rPr>
          <w:rFonts w:hint="eastAsia" w:ascii="仿宋_GB2312" w:hAnsi="仿宋_GB2312" w:eastAsia="仿宋_GB2312" w:cs="仿宋_GB2312"/>
          <w:color w:val="auto"/>
          <w:sz w:val="32"/>
          <w:szCs w:val="32"/>
        </w:rPr>
        <w:t>“双随机、一公开”联合抽查检查，自202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日，分为三个阶段。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随机抽取阶段</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5月26日至6月30日</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pacing w:val="-20"/>
          <w:sz w:val="32"/>
          <w:szCs w:val="32"/>
          <w:lang w:val="en-US" w:eastAsia="zh-CN"/>
        </w:rPr>
        <w:t>国家税务总局兴安盟税务局</w:t>
      </w:r>
      <w:r>
        <w:rPr>
          <w:rFonts w:hint="eastAsia" w:ascii="仿宋_GB2312" w:hAnsi="仿宋_GB2312" w:eastAsia="仿宋_GB2312" w:cs="仿宋_GB2312"/>
          <w:color w:val="auto"/>
          <w:sz w:val="32"/>
          <w:szCs w:val="32"/>
        </w:rPr>
        <w:t>发起，联合</w:t>
      </w:r>
      <w:r>
        <w:rPr>
          <w:rFonts w:hint="eastAsia" w:ascii="仿宋_GB2312" w:hAnsi="仿宋_GB2312" w:eastAsia="仿宋_GB2312" w:cs="仿宋_GB2312"/>
          <w:color w:val="auto"/>
          <w:sz w:val="32"/>
          <w:szCs w:val="32"/>
          <w:lang w:val="en-US" w:eastAsia="zh-CN"/>
        </w:rPr>
        <w:t>兴安盟</w:t>
      </w:r>
      <w:r>
        <w:rPr>
          <w:rFonts w:hint="eastAsia" w:ascii="仿宋_GB2312" w:hAnsi="仿宋_GB2312" w:eastAsia="仿宋_GB2312" w:cs="仿宋_GB2312"/>
          <w:i w:val="0"/>
          <w:caps w:val="0"/>
          <w:color w:val="auto"/>
          <w:spacing w:val="0"/>
          <w:kern w:val="0"/>
          <w:sz w:val="32"/>
          <w:szCs w:val="32"/>
          <w:lang w:val="en-US" w:eastAsia="zh-CN" w:bidi="ar"/>
        </w:rPr>
        <w:t>市场监督管理</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抽查计划，建立检查对象名录库，随机抽取检查对象和检查人员。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实地检查阶段</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7</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日至</w:t>
      </w:r>
      <w:r>
        <w:rPr>
          <w:rFonts w:hint="eastAsia" w:ascii="楷体_GB2312" w:hAnsi="楷体_GB2312" w:eastAsia="楷体_GB2312" w:cs="楷体_GB2312"/>
          <w:b w:val="0"/>
          <w:bCs w:val="0"/>
          <w:color w:val="auto"/>
          <w:sz w:val="32"/>
          <w:szCs w:val="32"/>
          <w:lang w:val="en-US" w:eastAsia="zh-CN"/>
        </w:rPr>
        <w:t>11</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30</w:t>
      </w:r>
      <w:r>
        <w:rPr>
          <w:rFonts w:hint="eastAsia" w:ascii="楷体_GB2312" w:hAnsi="楷体_GB2312" w:eastAsia="楷体_GB2312" w:cs="楷体_GB2312"/>
          <w:b w:val="0"/>
          <w:bCs w:val="0"/>
          <w:color w:val="auto"/>
          <w:sz w:val="32"/>
          <w:szCs w:val="32"/>
        </w:rPr>
        <w:t>日</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pacing w:val="-20"/>
          <w:sz w:val="32"/>
          <w:szCs w:val="32"/>
          <w:lang w:val="en-US" w:eastAsia="zh-CN"/>
        </w:rPr>
        <w:t>国家税务总局兴安盟税务局</w:t>
      </w:r>
      <w:r>
        <w:rPr>
          <w:rFonts w:hint="eastAsia" w:ascii="仿宋_GB2312" w:hAnsi="仿宋_GB2312" w:eastAsia="仿宋_GB2312" w:cs="仿宋_GB2312"/>
          <w:color w:val="auto"/>
          <w:sz w:val="32"/>
          <w:szCs w:val="32"/>
        </w:rPr>
        <w:t>牵头，确定检查日</w:t>
      </w:r>
      <w:r>
        <w:rPr>
          <w:rFonts w:hint="eastAsia" w:ascii="仿宋_GB2312" w:hAnsi="仿宋_GB2312" w:eastAsia="仿宋_GB2312" w:cs="仿宋_GB2312"/>
          <w:color w:val="auto"/>
          <w:sz w:val="32"/>
          <w:szCs w:val="32"/>
        </w:rPr>
        <w:t>程，组织开展实地检查。各部门对同一被检查机构要一次性完成抽查事项，避免“运动式”执法和对被查机构正常经营活动造成不必要的干扰。除根据掌握的问题线索需要实施突击检查外，实地核查原则上应提前与机构取得联系，一次性告知检查事项、检查时间以及需要准备的检查材料，并要求机构相关人员到现场配合检查。实地核查要如实记录检查情况、填写“随机抽查检查表”，并要求机构法定代表人(负责人)签字并由机构盖章，提高抽查效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结果公示阶段</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11</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日至</w:t>
      </w:r>
      <w:r>
        <w:rPr>
          <w:rFonts w:hint="eastAsia" w:ascii="楷体_GB2312" w:hAnsi="楷体_GB2312" w:eastAsia="楷体_GB2312" w:cs="楷体_GB2312"/>
          <w:b w:val="0"/>
          <w:bCs w:val="0"/>
          <w:color w:val="auto"/>
          <w:sz w:val="32"/>
          <w:szCs w:val="32"/>
          <w:lang w:val="en-US" w:eastAsia="zh-CN"/>
        </w:rPr>
        <w:t>12</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31</w:t>
      </w:r>
      <w:r>
        <w:rPr>
          <w:rFonts w:hint="eastAsia" w:ascii="楷体_GB2312" w:hAnsi="楷体_GB2312" w:eastAsia="楷体_GB2312" w:cs="楷体_GB2312"/>
          <w:b w:val="0"/>
          <w:bCs w:val="0"/>
          <w:color w:val="auto"/>
          <w:sz w:val="32"/>
          <w:szCs w:val="32"/>
        </w:rPr>
        <w:t>日</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各部门按照“谁检查、谁录入、谁公开”的原则，在抽查任务完成后</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个工作日内，将检查结果录入“国家企业信用信息公示系统”(部门协同监管平台一内蒙古)向社会公示，接受社会监督。</w:t>
      </w:r>
      <w:r>
        <w:rPr>
          <w:rFonts w:hint="eastAsia" w:ascii="仿宋_GB2312" w:hAnsi="仿宋_GB2312" w:eastAsia="仿宋_GB2312" w:cs="仿宋_GB2312"/>
          <w:color w:val="auto"/>
          <w:sz w:val="32"/>
          <w:szCs w:val="32"/>
          <w:lang w:val="en-US" w:eastAsia="zh-CN"/>
        </w:rPr>
        <w:t>抽查检查结果的公示只针对检查行为本身，后续对检查对象作出行政处罚等监管执法结果信息应按照规定程序另行公示。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各部门要认真贯彻《中共中央办公厅、国务院办公厅关于加强行政执法协调监督工作体系建设的意见》，切实负起责任，加强对涉企行政检查的规范管理。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对于抽查发现的各类问题，按照“谁审批、谁监管、谁负责”的原则，以及检查主体部门职责，依法对违法违规行为进行查处,涉嫌犯罪的及时移送司法机关。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涉企行政检查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val="en-US" w:eastAsia="zh-CN"/>
        </w:rPr>
        <w:t>承担起主体责任，依照各部门工作程序加强协调配合，开展抽查工作，确保按时间节点、工作任务要求完成联合检查工作。</w:t>
      </w:r>
      <w:r>
        <w:rPr>
          <w:rFonts w:hint="eastAsia" w:ascii="仿宋_GB2312" w:hAnsi="仿宋_GB2312" w:eastAsia="仿宋_GB2312" w:cs="仿宋_GB2312"/>
          <w:color w:val="auto"/>
          <w:sz w:val="32"/>
          <w:szCs w:val="32"/>
        </w:rPr>
        <w:t>要发挥各自监管职责优势,依法对违法违规行为进行</w:t>
      </w:r>
      <w:r>
        <w:rPr>
          <w:rFonts w:hint="eastAsia" w:ascii="仿宋_GB2312" w:hAnsi="仿宋_GB2312" w:eastAsia="仿宋_GB2312" w:cs="仿宋_GB2312"/>
          <w:color w:val="auto"/>
          <w:sz w:val="32"/>
          <w:szCs w:val="32"/>
          <w:lang w:val="en-US" w:eastAsia="zh-CN"/>
        </w:rPr>
        <w:t>检查</w:t>
      </w:r>
      <w:r>
        <w:rPr>
          <w:rFonts w:hint="eastAsia" w:ascii="仿宋_GB2312" w:hAnsi="仿宋_GB2312" w:eastAsia="仿宋_GB2312" w:cs="仿宋_GB2312"/>
          <w:color w:val="auto"/>
          <w:sz w:val="32"/>
          <w:szCs w:val="32"/>
        </w:rPr>
        <w:t>,相互通报检查结果。</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-102870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1pt;height:144pt;width:144pt;mso-position-horizontal:outside;mso-position-horizontal-relative:margin;mso-wrap-style:none;z-index:251659264;mso-width-relative:page;mso-height-relative:page;" filled="f" stroked="f" coordsize="21600,21600" o:gfxdata="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HK3vJ3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9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2025-06-03T02:40:25Z</dcterms:created>
  <dc:creator>Administrator</dc:creator>
  <cp:lastModifiedBy>李浩</cp:lastModifiedBy>
  <dcterms:modified xsi:type="dcterms:W3CDTF">2025-06-03T02:41:13Z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