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firstLineChars="0"/>
        <w:jc w:val="center"/>
        <w:textAlignment w:val="auto"/>
        <w:rPr>
          <w:rFonts w:hint="eastAsia" w:ascii="方正小标宋简体" w:hAnsi="方正小标宋简体" w:eastAsia="方正小标宋简体" w:cs="方正小标宋简体"/>
          <w:i w:val="0"/>
          <w:iCs w:val="0"/>
          <w:caps w:val="0"/>
          <w:color w:val="333333"/>
          <w:spacing w:val="0"/>
          <w:sz w:val="44"/>
          <w:szCs w:val="44"/>
        </w:rPr>
      </w:pPr>
      <w:r>
        <w:rPr>
          <w:rFonts w:hint="eastAsia" w:ascii="方正小标宋简体" w:hAnsi="方正小标宋简体" w:eastAsia="方正小标宋简体" w:cs="方正小标宋简体"/>
          <w:i w:val="0"/>
          <w:iCs w:val="0"/>
          <w:caps w:val="0"/>
          <w:color w:val="333333"/>
          <w:spacing w:val="0"/>
          <w:sz w:val="44"/>
          <w:szCs w:val="44"/>
          <w:shd w:val="clear" w:fill="FFFFFF"/>
        </w:rPr>
        <w:t>关于印发《兴安盟交通运输领域2026年度“双随机、一公开” 部门联合抽查工作方案》的通知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兴交发〔2026〕58号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i w:val="0"/>
          <w:iCs w:val="0"/>
          <w:caps w:val="0"/>
          <w:color w:val="333333"/>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各旗县市交通运输局、市场监督管理局、税务局：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根据《国务院办公厅关于严格规范涉企行政检查的意见》（国办发〔2024〕54号）《兴安盟市场监管局关于印发〈兴安盟2026年度市场监管领域部门联合“双随机、一公开”抽查计划&gt;的通知》(兴市监办字〔2026〕55号)，兴安盟交通运输局、兴安盟市场监督管理局、国家税务总局兴安盟税务局联合制定《兴安盟交通运输领域2026年度“双随机、一公开”部门联合抽查工作方案》，现印发给你们，请参照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  联系人: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  兴安盟交通运输局 杨   明13624899990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  兴安盟市场监管局 李子一16284828888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  国家税务总局兴安盟税务局 李   浩18648451099</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i w:val="0"/>
          <w:iCs w:val="0"/>
          <w:caps w:val="0"/>
          <w:color w:val="333333"/>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附件:1.兴安盟交通运输领域2026年度“双随机、一公开”部门联合抽查工作方案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2.兴安盟2026年度市场监管领域部门联合“双随机、一公开”抽查计划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兴安盟市场监督管理局 </w:t>
      </w: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rPr>
        <w:t>国家税务总局兴安盟税务局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rPr>
        <w:t>兴安盟交通运输局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righ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  2026年5月7日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i w:val="0"/>
          <w:iCs w:val="0"/>
          <w:caps w:val="0"/>
          <w:color w:val="333333"/>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（此件主动公开）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i w:val="0"/>
          <w:iCs w:val="0"/>
          <w:caps w:val="0"/>
          <w:color w:val="333333"/>
          <w:spacing w:val="0"/>
          <w:sz w:val="32"/>
          <w:szCs w:val="32"/>
          <w:shd w:val="clear" w:fill="FFFFFF"/>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i w:val="0"/>
          <w:iCs w:val="0"/>
          <w:caps w:val="0"/>
          <w:color w:val="333333"/>
          <w:spacing w:val="0"/>
          <w:sz w:val="32"/>
          <w:szCs w:val="32"/>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附件1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rPr>
      </w:pPr>
      <w:r>
        <w:rPr>
          <w:rFonts w:hint="eastAsia" w:ascii="方正小标宋简体" w:hAnsi="方正小标宋简体" w:eastAsia="方正小标宋简体" w:cs="方正小标宋简体"/>
          <w:i w:val="0"/>
          <w:iCs w:val="0"/>
          <w:caps w:val="0"/>
          <w:color w:val="333333"/>
          <w:spacing w:val="0"/>
          <w:sz w:val="44"/>
          <w:szCs w:val="44"/>
          <w:shd w:val="clear" w:fill="FFFFFF"/>
        </w:rPr>
        <w:t>兴安盟交通运输领域2026年度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i w:val="0"/>
          <w:iCs w:val="0"/>
          <w:caps w:val="0"/>
          <w:color w:val="333333"/>
          <w:spacing w:val="0"/>
          <w:sz w:val="44"/>
          <w:szCs w:val="44"/>
          <w:shd w:val="clear" w:fill="FFFFFF"/>
        </w:rPr>
        <w:t>“双随机、一公开”部门联合抽查工作方案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为贯彻落实《优化营商环境条例》，根据《国务院办公厅关于严格规范涉企行政检查的意见》(国办发〔2024〕54号)《兴安盟市场监管局关于印发〈兴安盟2026年度市场监管领域部门联合“双随机、一公开”抽查计划&gt;的通知》(兴市监办字〔2026〕55号)，兴安盟交通运输局、兴安盟市场监督管理局、国家税务总局兴安盟税务局决定联合开展兴安盟交通运输领域2026年度“双随机、一公开”部门联合抽查工作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rPr>
        <w:t>一、任务名称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  本次任务名称按照统一规范的原则，制定为：1.兴安盟2026年道路危险货物运输企业检查；2.兴安盟2026年道路运输车辆达标技术档案管理情况检查。共制定2个任务，主要包括以下三个方面: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（一）兴安盟交通运输局抽查事项:对道路危险货物运输的监督检查；对从事危险货物道路运输企业经营行为的行政检查；对危险货物道路运输企业运输环节充装查验、核准、记录监督检查。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（二）兴安盟市场监督管理局抽查事项：登记事项检查；公示信息检查。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（三）国家税务总局兴安盟税务局抽查事项：涉税事项检查。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rPr>
        <w:t>二、抽查检查比例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楷体_GB2312" w:hAnsi="楷体_GB2312" w:eastAsia="楷体_GB2312" w:cs="楷体_GB2312"/>
          <w:i w:val="0"/>
          <w:iCs w:val="0"/>
          <w:caps w:val="0"/>
          <w:color w:val="333333"/>
          <w:spacing w:val="0"/>
          <w:sz w:val="32"/>
          <w:szCs w:val="32"/>
          <w:shd w:val="clear" w:fill="FFFFFF"/>
        </w:rPr>
        <w:t>（一）抽查范围</w:t>
      </w:r>
      <w:r>
        <w:rPr>
          <w:rFonts w:hint="eastAsia" w:ascii="仿宋_GB2312" w:hAnsi="仿宋_GB2312" w:eastAsia="仿宋_GB2312" w:cs="仿宋_GB2312"/>
          <w:i w:val="0"/>
          <w:iCs w:val="0"/>
          <w:caps w:val="0"/>
          <w:color w:val="333333"/>
          <w:spacing w:val="0"/>
          <w:sz w:val="32"/>
          <w:szCs w:val="32"/>
          <w:shd w:val="clear" w:fill="FFFFFF"/>
        </w:rPr>
        <w:t>：通过自治区国家企业信用信息公示系统（部门协同监管平台－内蒙古）信用风险分类模块推送企业信用分类等级名单中抽取。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楷体_GB2312" w:hAnsi="楷体_GB2312" w:eastAsia="楷体_GB2312" w:cs="楷体_GB2312"/>
          <w:i w:val="0"/>
          <w:iCs w:val="0"/>
          <w:caps w:val="0"/>
          <w:color w:val="333333"/>
          <w:spacing w:val="0"/>
          <w:sz w:val="32"/>
          <w:szCs w:val="32"/>
          <w:shd w:val="clear" w:fill="FFFFFF"/>
        </w:rPr>
        <w:t>（二）抽查比例</w:t>
      </w:r>
      <w:r>
        <w:rPr>
          <w:rFonts w:hint="eastAsia" w:ascii="仿宋_GB2312" w:hAnsi="仿宋_GB2312" w:eastAsia="仿宋_GB2312" w:cs="仿宋_GB2312"/>
          <w:i w:val="0"/>
          <w:iCs w:val="0"/>
          <w:caps w:val="0"/>
          <w:color w:val="333333"/>
          <w:spacing w:val="0"/>
          <w:sz w:val="32"/>
          <w:szCs w:val="32"/>
          <w:shd w:val="clear" w:fill="FFFFFF"/>
        </w:rPr>
        <w:t>：信用风险低A类企业不低于0.5%比例抽取；信用风险一般B类企业不低于1%比例抽取；信用风险较高C类企业不低于5%比例抽取；信用风险高D企业不低于10%比例抽取。为避免重复执法，盟本级已经确定抽查的企业，原则上各旗县市本年度不再进行“双随机、一公开”抽查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rPr>
        <w:t>三、职责分工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楷体_GB2312" w:hAnsi="楷体_GB2312" w:eastAsia="楷体_GB2312" w:cs="楷体_GB2312"/>
          <w:i w:val="0"/>
          <w:iCs w:val="0"/>
          <w:caps w:val="0"/>
          <w:color w:val="333333"/>
          <w:spacing w:val="0"/>
          <w:sz w:val="32"/>
          <w:szCs w:val="32"/>
          <w:shd w:val="clear" w:fill="FFFFFF"/>
        </w:rPr>
        <w:t>（一）录入年度计划任务。</w:t>
      </w:r>
      <w:r>
        <w:rPr>
          <w:rFonts w:hint="eastAsia" w:ascii="仿宋_GB2312" w:hAnsi="仿宋_GB2312" w:eastAsia="仿宋_GB2312" w:cs="仿宋_GB2312"/>
          <w:i w:val="0"/>
          <w:iCs w:val="0"/>
          <w:caps w:val="0"/>
          <w:color w:val="333333"/>
          <w:spacing w:val="0"/>
          <w:sz w:val="32"/>
          <w:szCs w:val="32"/>
          <w:shd w:val="clear" w:fill="FFFFFF"/>
        </w:rPr>
        <w:t>抽查工作计划和任务由发起部门牵头，通过“国家企业信用信息公示系统”（部门协同监管平台—内蒙古）录入“双随机、一公开”联合工作计划和任务。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楷体_GB2312" w:hAnsi="楷体_GB2312" w:eastAsia="楷体_GB2312" w:cs="楷体_GB2312"/>
          <w:i w:val="0"/>
          <w:iCs w:val="0"/>
          <w:caps w:val="0"/>
          <w:color w:val="333333"/>
          <w:spacing w:val="0"/>
          <w:sz w:val="32"/>
          <w:szCs w:val="32"/>
          <w:shd w:val="clear" w:fill="FFFFFF"/>
        </w:rPr>
        <w:t>（二）建立“两库”。</w:t>
      </w:r>
      <w:r>
        <w:rPr>
          <w:rFonts w:hint="eastAsia" w:ascii="仿宋_GB2312" w:hAnsi="仿宋_GB2312" w:eastAsia="仿宋_GB2312" w:cs="仿宋_GB2312"/>
          <w:i w:val="0"/>
          <w:iCs w:val="0"/>
          <w:caps w:val="0"/>
          <w:color w:val="333333"/>
          <w:spacing w:val="0"/>
          <w:sz w:val="32"/>
          <w:szCs w:val="32"/>
          <w:shd w:val="clear" w:fill="FFFFFF"/>
        </w:rPr>
        <w:t>按照“监管对象相同、职责相近”原则，各部门协同一致，建立随机抽查检查对象名录库（子库），按照随机原则，建立执法人员库（子库）组成联合检查组，按照各自职责，分工负责开展抽查检查。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楷体_GB2312" w:hAnsi="楷体_GB2312" w:eastAsia="楷体_GB2312" w:cs="楷体_GB2312"/>
          <w:i w:val="0"/>
          <w:iCs w:val="0"/>
          <w:caps w:val="0"/>
          <w:color w:val="333333"/>
          <w:spacing w:val="0"/>
          <w:sz w:val="32"/>
          <w:szCs w:val="32"/>
          <w:shd w:val="clear" w:fill="FFFFFF"/>
        </w:rPr>
        <w:t>（三）随机抽取。</w:t>
      </w:r>
      <w:r>
        <w:rPr>
          <w:rFonts w:hint="eastAsia" w:ascii="仿宋_GB2312" w:hAnsi="仿宋_GB2312" w:eastAsia="仿宋_GB2312" w:cs="仿宋_GB2312"/>
          <w:i w:val="0"/>
          <w:iCs w:val="0"/>
          <w:caps w:val="0"/>
          <w:color w:val="333333"/>
          <w:spacing w:val="0"/>
          <w:sz w:val="32"/>
          <w:szCs w:val="32"/>
          <w:shd w:val="clear" w:fill="FFFFFF"/>
        </w:rPr>
        <w:t>依据检查对象名录库（子库），在任务抽取中点击信用分类抽取设置模块，将多个信用风险等级监管对象导入并分别设置抽取比例，提高企业信用风险分类结果占比。</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楷体_GB2312" w:hAnsi="楷体_GB2312" w:eastAsia="楷体_GB2312" w:cs="楷体_GB2312"/>
          <w:i w:val="0"/>
          <w:iCs w:val="0"/>
          <w:caps w:val="0"/>
          <w:color w:val="333333"/>
          <w:spacing w:val="0"/>
          <w:sz w:val="32"/>
          <w:szCs w:val="32"/>
          <w:shd w:val="clear" w:fill="FFFFFF"/>
        </w:rPr>
        <w:t>（四）检查结果录入和公示。</w:t>
      </w:r>
      <w:r>
        <w:rPr>
          <w:rFonts w:hint="eastAsia" w:ascii="仿宋_GB2312" w:hAnsi="仿宋_GB2312" w:eastAsia="仿宋_GB2312" w:cs="仿宋_GB2312"/>
          <w:i w:val="0"/>
          <w:iCs w:val="0"/>
          <w:caps w:val="0"/>
          <w:color w:val="333333"/>
          <w:spacing w:val="0"/>
          <w:sz w:val="32"/>
          <w:szCs w:val="32"/>
          <w:shd w:val="clear" w:fill="FFFFFF"/>
        </w:rPr>
        <w:t>按照“谁检查、谁录入、谁公开”的原则，各科室（局）在完成检查任务之日起20个工作日内，通过协同监管平台录入并公示抽查检查结果。自治区市场监督管理局将监管平台的抽查检查结果信息推送至自治区社会信用信息平台，并向社会公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rPr>
        <w:t>四、工作阶段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  本次“双随机、一公开”联合抽查检查，自2026年6月1日至8月30日，分为三个阶段。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楷体_GB2312" w:hAnsi="楷体_GB2312" w:eastAsia="楷体_GB2312" w:cs="楷体_GB2312"/>
          <w:i w:val="0"/>
          <w:iCs w:val="0"/>
          <w:caps w:val="0"/>
          <w:color w:val="333333"/>
          <w:spacing w:val="0"/>
          <w:sz w:val="32"/>
          <w:szCs w:val="32"/>
          <w:shd w:val="clear" w:fill="FFFFFF"/>
        </w:rPr>
        <w:t>（一）随机抽取阶段（6月1日至6月30日）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  由兴安盟交通运输局发起，联合兴安盟市场监督管理局、国家税务总局兴安盟税务局制定抽查计划，建立检查对象名录库，随机抽取检查对象和检查人员。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楷体_GB2312" w:hAnsi="楷体_GB2312" w:eastAsia="楷体_GB2312" w:cs="楷体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楷体_GB2312" w:hAnsi="楷体_GB2312" w:eastAsia="楷体_GB2312" w:cs="楷体_GB2312"/>
          <w:i w:val="0"/>
          <w:iCs w:val="0"/>
          <w:caps w:val="0"/>
          <w:color w:val="333333"/>
          <w:spacing w:val="0"/>
          <w:sz w:val="32"/>
          <w:szCs w:val="32"/>
          <w:shd w:val="clear" w:fill="FFFFFF"/>
        </w:rPr>
        <w:t> （二）实地检查阶段（7月1日至8月8日）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由兴安盟交通运输局牵头，确定检查日程，组织开展实地检查。各部门对同一被检查机构要一次性完成抽查事项，避免“运动式”执法和对被查机构正常经营活动造成不必要的干扰。除根据掌握的问题线索需要实施突击检查外，实地核查原则上应提前与机构取得联系，一次性告知检查事项、检查时间以及需要准备的检查材料，并要求机构相关人员到现场配合检查。实地核查要如实记录检查情况、填写“随机抽查检查表”，并要求机构法定代表人(负责人)签字并由机构盖章，提高抽查效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楷体_GB2312" w:hAnsi="楷体_GB2312" w:eastAsia="楷体_GB2312" w:cs="楷体_GB2312"/>
          <w:i w:val="0"/>
          <w:iCs w:val="0"/>
          <w:caps w:val="0"/>
          <w:color w:val="333333"/>
          <w:spacing w:val="0"/>
          <w:sz w:val="32"/>
          <w:szCs w:val="32"/>
          <w:shd w:val="clear" w:fill="FFFFFF"/>
        </w:rPr>
        <w:t>（三）结果公示阶段（8月9日至8月30日）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各部门按照“谁检查、谁录入、谁公开”的原则，在抽查任务完成后20个工作日内，将检查结果录入“国家企业信用信息公示系统”(部门协同监管平台一内蒙古)向社会公示，接受社会监督。抽查检查结果的公示只针对检查行为本身，后续对检查对象作出行政处罚等监管执法结果信息应按照规定程序另行公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rPr>
        <w:t>五、工作要求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  （一）各部门要认真贯彻《国务院办公厅关于严格规范涉企行政检查的意见》，坚决遏制乱检查，切实减轻企业负担，加强对涉企行政检查的规范管理。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  （二）对于抽查发现的各类问题，按照“谁审批、谁监管、谁负责”的原则，以及检查主体部门职责，依法对违法违规行为进行查处,涉嫌犯罪的及时移送司法机关。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三）涉企行政检查要做到“五个严禁”“八个不得”。严禁逐利检查，不得接受被检查企业的任何馈赠、报酬、福利待遇，不得参加被检查企业提供的宴请、娱乐、旅游等活动，不得由被检查企业支付消费开支或者将检查费用转嫁给企业，不得强制企业接受指定的中介机构提供服务。严禁干扰企业正常生产经营，不得刻意要求法定代表人到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四）各部门承担主体责任，依照各部门工作程序加强协调配合，开展抽查工作，确保按时间节点、工作任务要求完成联合检查工作。要发挥各自监管职责优势,依法对违法违规行为进行检查,相互通报检查结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i w:val="0"/>
          <w:iCs w:val="0"/>
          <w:caps w:val="0"/>
          <w:color w:val="333333"/>
          <w:spacing w:val="0"/>
          <w:sz w:val="32"/>
          <w:szCs w:val="32"/>
          <w:shd w:val="clear" w:fill="FFFFFF"/>
        </w:rPr>
        <w:sectPr>
          <w:pgSz w:w="11906" w:h="16838"/>
          <w:pgMar w:top="1440" w:right="1800" w:bottom="1440" w:left="1800" w:header="851" w:footer="992" w:gutter="0"/>
          <w:cols w:space="425" w:num="1"/>
          <w:docGrid w:type="lines" w:linePitch="312" w:charSpace="0"/>
        </w:sect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fill="FFFFFF"/>
        </w:rPr>
        <w:t> 附件2</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333333"/>
          <w:spacing w:val="0"/>
          <w:sz w:val="32"/>
          <w:szCs w:val="32"/>
          <w:shd w:val="clear" w:fill="FFFFFF"/>
        </w:rPr>
        <w:t>兴安盟2026年度市场监管领域部门联合“双随机、一公开”抽查计划</w:t>
      </w:r>
    </w:p>
    <w:tbl>
      <w:tblPr>
        <w:tblStyle w:val="4"/>
        <w:tblpPr w:leftFromText="180" w:rightFromText="180" w:vertAnchor="text" w:horzAnchor="page" w:tblpX="343" w:tblpY="1218"/>
        <w:tblOverlap w:val="never"/>
        <w:tblW w:w="15995" w:type="dxa"/>
        <w:tblInd w:w="0" w:type="dxa"/>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534"/>
        <w:gridCol w:w="1464"/>
        <w:gridCol w:w="1110"/>
        <w:gridCol w:w="851"/>
        <w:gridCol w:w="967"/>
        <w:gridCol w:w="793"/>
        <w:gridCol w:w="764"/>
        <w:gridCol w:w="664"/>
        <w:gridCol w:w="1038"/>
        <w:gridCol w:w="810"/>
        <w:gridCol w:w="2105"/>
        <w:gridCol w:w="2076"/>
        <w:gridCol w:w="2219"/>
        <w:gridCol w:w="600"/>
      </w:tblGrid>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90" w:hRule="atLeast"/>
        </w:trPr>
        <w:tc>
          <w:tcPr>
            <w:tcW w:w="534"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序号</w:t>
            </w:r>
          </w:p>
        </w:tc>
        <w:tc>
          <w:tcPr>
            <w:tcW w:w="1464" w:type="dxa"/>
            <w:vMerge w:val="restart"/>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联合抽查计划名称</w:t>
            </w:r>
          </w:p>
        </w:tc>
        <w:tc>
          <w:tcPr>
            <w:tcW w:w="1110" w:type="dxa"/>
            <w:vMerge w:val="restart"/>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联合抽查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任务名称</w:t>
            </w:r>
          </w:p>
        </w:tc>
        <w:tc>
          <w:tcPr>
            <w:tcW w:w="851" w:type="dxa"/>
            <w:vMerge w:val="restart"/>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对象</w:t>
            </w:r>
          </w:p>
        </w:tc>
        <w:tc>
          <w:tcPr>
            <w:tcW w:w="967" w:type="dxa"/>
            <w:vMerge w:val="restart"/>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发起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部门</w:t>
            </w:r>
          </w:p>
        </w:tc>
        <w:tc>
          <w:tcPr>
            <w:tcW w:w="793" w:type="dxa"/>
            <w:vMerge w:val="restart"/>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参与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部门</w:t>
            </w:r>
          </w:p>
        </w:tc>
        <w:tc>
          <w:tcPr>
            <w:tcW w:w="764" w:type="dxa"/>
            <w:vMerge w:val="restart"/>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b/>
                <w:bCs/>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sz w:val="24"/>
                <w:szCs w:val="24"/>
              </w:rPr>
              <w:t>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方式</w:t>
            </w:r>
          </w:p>
        </w:tc>
        <w:tc>
          <w:tcPr>
            <w:tcW w:w="664" w:type="dxa"/>
            <w:vMerge w:val="restart"/>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抽取时间</w:t>
            </w:r>
          </w:p>
        </w:tc>
        <w:tc>
          <w:tcPr>
            <w:tcW w:w="1038" w:type="dxa"/>
            <w:vMerge w:val="restart"/>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抽查比例或数量</w:t>
            </w:r>
          </w:p>
        </w:tc>
        <w:tc>
          <w:tcPr>
            <w:tcW w:w="810" w:type="dxa"/>
            <w:vMerge w:val="restart"/>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时间</w:t>
            </w:r>
          </w:p>
        </w:tc>
        <w:tc>
          <w:tcPr>
            <w:tcW w:w="4181" w:type="dxa"/>
            <w:gridSpan w:val="2"/>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联合抽查事项</w:t>
            </w:r>
          </w:p>
        </w:tc>
        <w:tc>
          <w:tcPr>
            <w:tcW w:w="2219" w:type="dxa"/>
            <w:vMerge w:val="restart"/>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检查重点</w:t>
            </w:r>
          </w:p>
        </w:tc>
        <w:tc>
          <w:tcPr>
            <w:tcW w:w="600" w:type="dxa"/>
            <w:vMerge w:val="restart"/>
            <w:tcBorders>
              <w:top w:val="single" w:color="auto" w:sz="6" w:space="0"/>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备注</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90" w:hRule="atLeast"/>
        </w:trPr>
        <w:tc>
          <w:tcPr>
            <w:tcW w:w="534"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c>
          <w:tcPr>
            <w:tcW w:w="1464" w:type="dxa"/>
            <w:vMerge w:val="continue"/>
            <w:tcBorders>
              <w:top w:val="single" w:color="auto" w:sz="6" w:space="0"/>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c>
          <w:tcPr>
            <w:tcW w:w="1110" w:type="dxa"/>
            <w:vMerge w:val="continue"/>
            <w:tcBorders>
              <w:top w:val="single" w:color="auto" w:sz="6" w:space="0"/>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c>
          <w:tcPr>
            <w:tcW w:w="851" w:type="dxa"/>
            <w:vMerge w:val="continue"/>
            <w:tcBorders>
              <w:top w:val="single" w:color="auto" w:sz="6" w:space="0"/>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c>
          <w:tcPr>
            <w:tcW w:w="967" w:type="dxa"/>
            <w:vMerge w:val="continue"/>
            <w:tcBorders>
              <w:top w:val="single" w:color="auto" w:sz="6" w:space="0"/>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c>
          <w:tcPr>
            <w:tcW w:w="793" w:type="dxa"/>
            <w:vMerge w:val="continue"/>
            <w:tcBorders>
              <w:top w:val="single" w:color="auto" w:sz="6" w:space="0"/>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c>
          <w:tcPr>
            <w:tcW w:w="764" w:type="dxa"/>
            <w:vMerge w:val="continue"/>
            <w:tcBorders>
              <w:top w:val="single" w:color="auto" w:sz="6" w:space="0"/>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c>
          <w:tcPr>
            <w:tcW w:w="664" w:type="dxa"/>
            <w:vMerge w:val="continue"/>
            <w:tcBorders>
              <w:top w:val="single" w:color="auto" w:sz="6" w:space="0"/>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c>
          <w:tcPr>
            <w:tcW w:w="1038" w:type="dxa"/>
            <w:vMerge w:val="continue"/>
            <w:tcBorders>
              <w:top w:val="single" w:color="auto" w:sz="6" w:space="0"/>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c>
          <w:tcPr>
            <w:tcW w:w="810" w:type="dxa"/>
            <w:vMerge w:val="continue"/>
            <w:tcBorders>
              <w:top w:val="single" w:color="auto" w:sz="6" w:space="0"/>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c>
          <w:tcPr>
            <w:tcW w:w="2105"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发起部门抽查事项</w:t>
            </w:r>
          </w:p>
        </w:tc>
        <w:tc>
          <w:tcPr>
            <w:tcW w:w="2076"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i w:val="0"/>
                <w:iCs w:val="0"/>
                <w:caps w:val="0"/>
                <w:color w:val="333333"/>
                <w:spacing w:val="0"/>
                <w:sz w:val="24"/>
                <w:szCs w:val="24"/>
              </w:rPr>
              <w:t>参与部门抽查事项</w:t>
            </w:r>
          </w:p>
        </w:tc>
        <w:tc>
          <w:tcPr>
            <w:tcW w:w="2219" w:type="dxa"/>
            <w:vMerge w:val="continue"/>
            <w:tcBorders>
              <w:top w:val="single" w:color="auto" w:sz="6" w:space="0"/>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90" w:hRule="atLeast"/>
        </w:trPr>
        <w:tc>
          <w:tcPr>
            <w:tcW w:w="534" w:type="dxa"/>
            <w:tcBorders>
              <w:top w:val="nil"/>
              <w:left w:val="single" w:color="auto" w:sz="6" w:space="0"/>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i w:val="0"/>
                <w:iCs w:val="0"/>
                <w:caps w:val="0"/>
                <w:color w:val="333333"/>
                <w:spacing w:val="0"/>
                <w:sz w:val="27"/>
                <w:szCs w:val="27"/>
              </w:rPr>
              <w:t>1</w:t>
            </w:r>
          </w:p>
        </w:tc>
        <w:tc>
          <w:tcPr>
            <w:tcW w:w="1464"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兴安盟交通运输局2026年度跨部门“双随机、一公开”交通运输领域抽查计划(危险货物运输企业)</w:t>
            </w:r>
          </w:p>
        </w:tc>
        <w:tc>
          <w:tcPr>
            <w:tcW w:w="1110"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兴安盟2026年道路危险货物运输企业检查</w:t>
            </w:r>
            <w:bookmarkStart w:id="0" w:name="_GoBack"/>
            <w:bookmarkEnd w:id="0"/>
          </w:p>
        </w:tc>
        <w:tc>
          <w:tcPr>
            <w:tcW w:w="851"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道路危险货物运输企业</w:t>
            </w:r>
          </w:p>
        </w:tc>
        <w:tc>
          <w:tcPr>
            <w:tcW w:w="967"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兴安盟交通运输局</w:t>
            </w:r>
          </w:p>
        </w:tc>
        <w:tc>
          <w:tcPr>
            <w:tcW w:w="793"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国家税务总局兴安盟税务局</w:t>
            </w:r>
          </w:p>
        </w:tc>
        <w:tc>
          <w:tcPr>
            <w:tcW w:w="764"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实地检查、书面检查</w:t>
            </w:r>
          </w:p>
        </w:tc>
        <w:tc>
          <w:tcPr>
            <w:tcW w:w="664"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6月</w:t>
            </w:r>
          </w:p>
        </w:tc>
        <w:tc>
          <w:tcPr>
            <w:tcW w:w="1038"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按照实际工作比例抽取</w:t>
            </w:r>
          </w:p>
        </w:tc>
        <w:tc>
          <w:tcPr>
            <w:tcW w:w="810"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7-8月</w:t>
            </w:r>
          </w:p>
        </w:tc>
        <w:tc>
          <w:tcPr>
            <w:tcW w:w="2105"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b/>
                <w:bCs/>
                <w:i w:val="0"/>
                <w:iCs w:val="0"/>
                <w:caps w:val="0"/>
                <w:color w:val="333333"/>
                <w:spacing w:val="0"/>
                <w:sz w:val="18"/>
                <w:szCs w:val="18"/>
              </w:rPr>
              <w:t>兴安盟交通运输局：</w:t>
            </w:r>
            <w:r>
              <w:rPr>
                <w:rFonts w:hint="eastAsia" w:ascii="微软雅黑" w:hAnsi="微软雅黑" w:eastAsia="微软雅黑" w:cs="微软雅黑"/>
                <w:i w:val="0"/>
                <w:iCs w:val="0"/>
                <w:caps w:val="0"/>
                <w:color w:val="333333"/>
                <w:spacing w:val="0"/>
                <w:sz w:val="20"/>
                <w:szCs w:val="20"/>
              </w:rPr>
              <w:t>对道路危险货物运输的监督检查；对从事危险货物道路运输企业经营行为的行政检查；对危险货物道路运输企业运输环节充装查验、核准、记录监督检查。</w:t>
            </w:r>
          </w:p>
        </w:tc>
        <w:tc>
          <w:tcPr>
            <w:tcW w:w="2076"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b/>
                <w:bCs/>
                <w:i w:val="0"/>
                <w:iCs w:val="0"/>
                <w:caps w:val="0"/>
                <w:color w:val="333333"/>
                <w:spacing w:val="0"/>
                <w:sz w:val="18"/>
                <w:szCs w:val="18"/>
              </w:rPr>
              <w:t>国家税务总局兴安盟税务局：</w:t>
            </w:r>
            <w:r>
              <w:rPr>
                <w:rFonts w:hint="eastAsia" w:ascii="微软雅黑" w:hAnsi="微软雅黑" w:eastAsia="微软雅黑" w:cs="微软雅黑"/>
                <w:i w:val="0"/>
                <w:iCs w:val="0"/>
                <w:caps w:val="0"/>
                <w:color w:val="333333"/>
                <w:spacing w:val="0"/>
                <w:sz w:val="20"/>
                <w:szCs w:val="20"/>
              </w:rPr>
              <w:t>涉税事项检查。</w:t>
            </w:r>
          </w:p>
        </w:tc>
        <w:tc>
          <w:tcPr>
            <w:tcW w:w="2219"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1.对危货运源头单位建立的治超制度及其履行职责的情况进行监督检查；2.对危货运源头单位的治超登记、统计制度、档案进行检查；3.其他依法应当检查的内容。</w:t>
            </w:r>
          </w:p>
        </w:tc>
        <w:tc>
          <w:tcPr>
            <w:tcW w:w="600" w:type="dxa"/>
            <w:tcBorders>
              <w:top w:val="nil"/>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90" w:hRule="atLeast"/>
        </w:trPr>
        <w:tc>
          <w:tcPr>
            <w:tcW w:w="534" w:type="dxa"/>
            <w:tcBorders>
              <w:top w:val="nil"/>
              <w:left w:val="single" w:color="auto" w:sz="6" w:space="0"/>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i w:val="0"/>
                <w:iCs w:val="0"/>
                <w:caps w:val="0"/>
                <w:color w:val="333333"/>
                <w:spacing w:val="0"/>
                <w:sz w:val="27"/>
                <w:szCs w:val="27"/>
              </w:rPr>
              <w:t>2</w:t>
            </w:r>
          </w:p>
        </w:tc>
        <w:tc>
          <w:tcPr>
            <w:tcW w:w="1464"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兴安盟交通运输局2026年度跨部门“双随机、一公开”交通运输领域抽查计划(道路运输车辆达标管理相关机构)</w:t>
            </w:r>
          </w:p>
        </w:tc>
        <w:tc>
          <w:tcPr>
            <w:tcW w:w="1110"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兴安盟2026年道路运输车辆达标技术档案管理情况检查</w:t>
            </w:r>
          </w:p>
        </w:tc>
        <w:tc>
          <w:tcPr>
            <w:tcW w:w="851"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道路运输车辆达标管理相关机构</w:t>
            </w:r>
          </w:p>
        </w:tc>
        <w:tc>
          <w:tcPr>
            <w:tcW w:w="967"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兴安盟交通运输局</w:t>
            </w:r>
          </w:p>
        </w:tc>
        <w:tc>
          <w:tcPr>
            <w:tcW w:w="793"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兴安盟市场监督管理局</w:t>
            </w:r>
          </w:p>
        </w:tc>
        <w:tc>
          <w:tcPr>
            <w:tcW w:w="764"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实地检查、书面检查</w:t>
            </w:r>
          </w:p>
        </w:tc>
        <w:tc>
          <w:tcPr>
            <w:tcW w:w="664"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6月</w:t>
            </w:r>
          </w:p>
        </w:tc>
        <w:tc>
          <w:tcPr>
            <w:tcW w:w="1038"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按照实际工作比例抽取</w:t>
            </w:r>
          </w:p>
        </w:tc>
        <w:tc>
          <w:tcPr>
            <w:tcW w:w="810"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7-8月</w:t>
            </w:r>
          </w:p>
        </w:tc>
        <w:tc>
          <w:tcPr>
            <w:tcW w:w="2105"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b/>
                <w:bCs/>
                <w:i w:val="0"/>
                <w:iCs w:val="0"/>
                <w:caps w:val="0"/>
                <w:color w:val="333333"/>
                <w:spacing w:val="0"/>
                <w:sz w:val="18"/>
                <w:szCs w:val="18"/>
              </w:rPr>
              <w:t>兴安盟交通运输局：</w:t>
            </w:r>
            <w:r>
              <w:rPr>
                <w:rFonts w:hint="eastAsia" w:ascii="微软雅黑" w:hAnsi="微软雅黑" w:eastAsia="微软雅黑" w:cs="微软雅黑"/>
                <w:i w:val="0"/>
                <w:iCs w:val="0"/>
                <w:caps w:val="0"/>
                <w:color w:val="333333"/>
                <w:spacing w:val="0"/>
                <w:sz w:val="20"/>
                <w:szCs w:val="20"/>
              </w:rPr>
              <w:t>运输车辆的燃料消耗量达标监督检查；汽车综合性能检测机构的监督检查；对未履行备案义务或者报告义务行为的行政检查。</w:t>
            </w:r>
          </w:p>
        </w:tc>
        <w:tc>
          <w:tcPr>
            <w:tcW w:w="2076"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b/>
                <w:bCs/>
                <w:i w:val="0"/>
                <w:iCs w:val="0"/>
                <w:caps w:val="0"/>
                <w:color w:val="333333"/>
                <w:spacing w:val="0"/>
                <w:sz w:val="18"/>
                <w:szCs w:val="18"/>
              </w:rPr>
              <w:t>兴安盟市场监督管理局：</w:t>
            </w:r>
            <w:r>
              <w:rPr>
                <w:rFonts w:hint="eastAsia" w:ascii="微软雅黑" w:hAnsi="微软雅黑" w:eastAsia="微软雅黑" w:cs="微软雅黑"/>
                <w:i w:val="0"/>
                <w:iCs w:val="0"/>
                <w:caps w:val="0"/>
                <w:color w:val="333333"/>
                <w:spacing w:val="0"/>
                <w:sz w:val="20"/>
                <w:szCs w:val="20"/>
              </w:rPr>
              <w:t>登记事项检查；公示信息检查。</w:t>
            </w:r>
          </w:p>
        </w:tc>
        <w:tc>
          <w:tcPr>
            <w:tcW w:w="2219" w:type="dxa"/>
            <w:tcBorders>
              <w:top w:val="nil"/>
              <w:left w:val="nil"/>
              <w:bottom w:val="single" w:color="auto" w:sz="6" w:space="0"/>
              <w:right w:val="single" w:color="auto" w:sz="6" w:space="0"/>
            </w:tcBorders>
            <w:shd w:val="clear" w:color="auto" w:fill="FFFFFF"/>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color w:val="333333"/>
                <w:sz w:val="18"/>
                <w:szCs w:val="18"/>
              </w:rPr>
            </w:pPr>
            <w:r>
              <w:rPr>
                <w:rFonts w:hint="eastAsia" w:ascii="微软雅黑" w:hAnsi="微软雅黑" w:eastAsia="微软雅黑" w:cs="微软雅黑"/>
                <w:i w:val="0"/>
                <w:iCs w:val="0"/>
                <w:caps w:val="0"/>
                <w:color w:val="333333"/>
                <w:spacing w:val="0"/>
                <w:sz w:val="20"/>
                <w:szCs w:val="20"/>
              </w:rPr>
              <w:t>是否按照《汽车综合性能检测站能力的通用要求》检测车辆。</w:t>
            </w:r>
          </w:p>
        </w:tc>
        <w:tc>
          <w:tcPr>
            <w:tcW w:w="600" w:type="dxa"/>
            <w:tcBorders>
              <w:top w:val="nil"/>
              <w:left w:val="nil"/>
              <w:bottom w:val="single" w:color="auto" w:sz="6" w:space="0"/>
              <w:right w:val="single" w:color="auto"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i w:val="0"/>
                <w:iCs w:val="0"/>
                <w:caps w:val="0"/>
                <w:color w:val="333333"/>
                <w:spacing w:val="0"/>
                <w:sz w:val="24"/>
                <w:szCs w:val="24"/>
              </w:rPr>
            </w:pP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_GB2312" w:hAnsi="仿宋_GB2312" w:eastAsia="仿宋_GB2312" w:cs="仿宋_GB2312"/>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11F33"/>
    <w:rsid w:val="19F86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3029</Words>
  <Characters>3191</Characters>
  <Lines>0</Lines>
  <Paragraphs>0</Paragraphs>
  <TotalTime>1</TotalTime>
  <ScaleCrop>false</ScaleCrop>
  <LinksUpToDate>false</LinksUpToDate>
  <CharactersWithSpaces>3247</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2026-08-04T09:26:00Z</dcterms:created>
  <dc:creator>Administrator</dc:creator>
  <cp:lastModifiedBy>李浩</cp:lastModifiedBy>
  <dcterms:modified xsi:type="dcterms:W3CDTF">2026-08-04T09:47:45Z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C7278F93E7244AAF8B3E05348C10A991</vt:lpwstr>
  </property>
</Properties>
</file>