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right"/>
        <w:rPr>
          <w:rFonts w:hint="eastAsia" w:eastAsia="仿宋_GB2312"/>
          <w:lang w:eastAsia="zh-CN"/>
        </w:rPr>
      </w:pPr>
    </w:p>
    <w:p>
      <w:pPr>
        <w:snapToGrid w:val="0"/>
        <w:spacing w:line="400" w:lineRule="exact"/>
        <w:jc w:val="right"/>
        <w:rPr>
          <w:rFonts w:hint="eastAsia" w:eastAsia="仿宋_GB2312"/>
          <w:lang w:eastAsia="zh-CN"/>
        </w:rPr>
      </w:pPr>
      <w:r>
        <w:drawing>
          <wp:anchor distT="0" distB="0" distL="114300" distR="114300" simplePos="0" relativeHeight="251660288" behindDoc="1" locked="0" layoutInCell="1" allowOverlap="1">
            <wp:simplePos x="0" y="0"/>
            <wp:positionH relativeFrom="margin">
              <wp:posOffset>-267970</wp:posOffset>
            </wp:positionH>
            <wp:positionV relativeFrom="paragraph">
              <wp:posOffset>-99695</wp:posOffset>
            </wp:positionV>
            <wp:extent cx="6111240" cy="1410335"/>
            <wp:effectExtent l="0" t="0" r="3810" b="18415"/>
            <wp:wrapNone/>
            <wp:docPr id="1" name="图片 2" descr="乌税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乌税函"/>
                    <pic:cNvPicPr>
                      <a:picLocks noChangeAspect="1"/>
                    </pic:cNvPicPr>
                  </pic:nvPicPr>
                  <pic:blipFill>
                    <a:blip r:embed="rId4"/>
                    <a:stretch>
                      <a:fillRect/>
                    </a:stretch>
                  </pic:blipFill>
                  <pic:spPr>
                    <a:xfrm>
                      <a:off x="0" y="0"/>
                      <a:ext cx="6111240" cy="1410335"/>
                    </a:xfrm>
                    <a:prstGeom prst="rect">
                      <a:avLst/>
                    </a:prstGeom>
                    <a:noFill/>
                    <a:ln>
                      <a:noFill/>
                    </a:ln>
                  </pic:spPr>
                </pic:pic>
              </a:graphicData>
            </a:graphic>
          </wp:anchor>
        </w:drawing>
      </w:r>
    </w:p>
    <w:p>
      <w:pPr>
        <w:snapToGrid w:val="0"/>
        <w:spacing w:line="400" w:lineRule="exact"/>
        <w:jc w:val="right"/>
        <w:rPr>
          <w:rFonts w:hint="eastAsia" w:eastAsia="仿宋_GB2312"/>
          <w:lang w:eastAsia="zh-CN"/>
        </w:rPr>
      </w:pPr>
    </w:p>
    <w:p>
      <w:pPr>
        <w:snapToGrid w:val="0"/>
        <w:spacing w:line="400" w:lineRule="exact"/>
        <w:jc w:val="right"/>
        <w:rPr>
          <w:rFonts w:hint="eastAsia" w:eastAsia="仿宋_GB2312"/>
          <w:lang w:eastAsia="zh-CN"/>
        </w:rPr>
      </w:pPr>
    </w:p>
    <w:p>
      <w:pPr>
        <w:snapToGrid w:val="0"/>
        <w:spacing w:line="400" w:lineRule="exact"/>
        <w:jc w:val="right"/>
        <w:rPr>
          <w:rFonts w:hint="eastAsia" w:eastAsia="仿宋_GB2312"/>
          <w:lang w:eastAsia="zh-CN"/>
        </w:rPr>
      </w:pPr>
    </w:p>
    <w:p>
      <w:pPr>
        <w:snapToGrid w:val="0"/>
        <w:spacing w:line="400" w:lineRule="exact"/>
        <w:jc w:val="right"/>
        <w:rPr>
          <w:rFonts w:hint="eastAsia" w:eastAsia="仿宋_GB2312"/>
          <w:lang w:eastAsia="zh-CN"/>
        </w:rPr>
      </w:pPr>
    </w:p>
    <w:p>
      <w:pPr>
        <w:snapToGrid w:val="0"/>
        <w:spacing w:line="400" w:lineRule="exact"/>
        <w:jc w:val="right"/>
        <w:rPr>
          <w:rFonts w:hint="eastAsia" w:eastAsia="仿宋_GB2312"/>
          <w:lang w:eastAsia="zh-CN"/>
        </w:rPr>
      </w:pPr>
    </w:p>
    <w:p>
      <w:pPr>
        <w:snapToGrid w:val="0"/>
        <w:spacing w:line="560" w:lineRule="exact"/>
        <w:ind w:firstLine="4000" w:firstLineChars="1250"/>
        <w:rPr>
          <w:rFonts w:hint="eastAsia" w:ascii="仿宋_GB2312" w:hAnsi="仿宋" w:eastAsia="仿宋_GB2312"/>
          <w:sz w:val="32"/>
          <w:szCs w:val="32"/>
        </w:rPr>
      </w:pPr>
    </w:p>
    <w:p>
      <w:pPr>
        <w:pStyle w:val="3"/>
        <w:keepNext w:val="0"/>
        <w:keepLines w:val="0"/>
        <w:widowControl/>
        <w:suppressLineNumbers w:val="0"/>
        <w:overflowPunct/>
        <w:autoSpaceDE/>
        <w:autoSpaceDN/>
        <w:adjustRightInd/>
        <w:spacing w:line="560" w:lineRule="exact"/>
        <w:jc w:val="center"/>
        <w:textAlignment w:val="auto"/>
        <w:rPr>
          <w:rFonts w:hint="eastAsia" w:ascii="方正小标宋简体" w:hAnsi="方正小标宋简体" w:eastAsia="方正小标宋简体" w:cs="方正小标宋简体"/>
          <w:b w:val="0"/>
          <w:bCs w:val="0"/>
          <w:color w:val="000000"/>
          <w:sz w:val="44"/>
          <w:szCs w:val="44"/>
        </w:rPr>
      </w:pPr>
      <w:bookmarkStart w:id="0" w:name="_GoBack"/>
      <w:r>
        <w:rPr>
          <w:rFonts w:hint="eastAsia" w:ascii="方正小标宋简体" w:hAnsi="方正小标宋简体" w:eastAsia="方正小标宋简体" w:cs="方正小标宋简体"/>
          <w:b w:val="0"/>
          <w:bCs w:val="0"/>
          <w:color w:val="000000"/>
          <w:sz w:val="44"/>
          <w:szCs w:val="44"/>
        </w:rPr>
        <w:t>国家税务总局乌兰察布市税务局关于进一步促进涉税专业服务行业规范发展的通知</w:t>
      </w:r>
    </w:p>
    <w:bookmarkEnd w:id="0"/>
    <w:p>
      <w:pPr>
        <w:pStyle w:val="3"/>
        <w:keepNext w:val="0"/>
        <w:keepLines w:val="0"/>
        <w:widowControl/>
        <w:suppressLineNumbers w:val="0"/>
        <w:overflowPunct/>
        <w:autoSpaceDE/>
        <w:autoSpaceDN/>
        <w:adjustRightInd/>
        <w:spacing w:line="560" w:lineRule="exact"/>
        <w:textAlignment w:val="auto"/>
        <w:rPr>
          <w:rFonts w:hint="eastAsia" w:ascii="方正小标宋简体" w:hAnsi="方正小标宋简体" w:eastAsia="方正小标宋简体" w:cs="方正小标宋简体"/>
          <w:b w:val="0"/>
          <w:bCs w:val="0"/>
          <w:color w:val="000000"/>
          <w:sz w:val="44"/>
          <w:szCs w:val="44"/>
        </w:rPr>
      </w:pPr>
    </w:p>
    <w:p>
      <w:pPr>
        <w:pStyle w:val="3"/>
        <w:keepNext w:val="0"/>
        <w:keepLines w:val="0"/>
        <w:widowControl/>
        <w:suppressLineNumbers w:val="0"/>
        <w:overflowPunct/>
        <w:autoSpaceDE/>
        <w:autoSpaceDN/>
        <w:adjustRightInd/>
        <w:spacing w:line="560" w:lineRule="exact"/>
        <w:textAlignment w:val="auto"/>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国家税务总局各</w:t>
      </w:r>
      <w:r>
        <w:rPr>
          <w:rFonts w:hint="eastAsia" w:ascii="仿宋_GB2312" w:hAnsi="仿宋_GB2312" w:eastAsia="仿宋_GB2312" w:cs="仿宋_GB2312"/>
          <w:color w:val="000000"/>
          <w:sz w:val="32"/>
          <w:szCs w:val="32"/>
          <w:lang w:eastAsia="zh-CN"/>
        </w:rPr>
        <w:t>旗县市区</w:t>
      </w:r>
      <w:r>
        <w:rPr>
          <w:rFonts w:hint="eastAsia" w:ascii="仿宋_GB2312" w:hAnsi="仿宋_GB2312" w:eastAsia="仿宋_GB2312" w:cs="仿宋_GB2312"/>
          <w:color w:val="000000"/>
          <w:sz w:val="32"/>
          <w:szCs w:val="32"/>
        </w:rPr>
        <w:t>税务局，局内各有关单位：</w:t>
      </w:r>
    </w:p>
    <w:p>
      <w:pPr>
        <w:pStyle w:val="3"/>
        <w:keepNext w:val="0"/>
        <w:keepLines w:val="0"/>
        <w:widowControl/>
        <w:suppressLineNumbers w:val="0"/>
        <w:overflowPunct/>
        <w:autoSpaceDE/>
        <w:autoSpaceDN/>
        <w:adjustRightInd/>
        <w:spacing w:line="560" w:lineRule="exact"/>
        <w:textAlignment w:val="auto"/>
        <w:rPr>
          <w:rFonts w:hint="eastAsia" w:ascii="仿宋_GB2312" w:hAnsi="仿宋_GB2312" w:eastAsia="仿宋_GB2312" w:cs="仿宋_GB2312"/>
          <w:color w:val="000000"/>
          <w:sz w:val="32"/>
          <w:szCs w:val="32"/>
        </w:rPr>
      </w:pPr>
    </w:p>
    <w:p>
      <w:pPr>
        <w:keepNext w:val="0"/>
        <w:keepLines w:val="0"/>
        <w:widowControl/>
        <w:suppressLineNumbers w:val="0"/>
        <w:spacing w:line="360" w:lineRule="auto"/>
        <w:ind w:firstLine="640" w:firstLineChars="200"/>
        <w:jc w:val="left"/>
        <w:rPr>
          <w:sz w:val="32"/>
          <w:szCs w:val="32"/>
        </w:rPr>
      </w:pPr>
      <w:r>
        <w:rPr>
          <w:rFonts w:hint="eastAsia" w:ascii="CESI仿宋-GB2312" w:hAnsi="CESI仿宋-GB2312" w:eastAsia="CESI仿宋-GB2312" w:cs="CESI仿宋-GB2312"/>
          <w:kern w:val="0"/>
          <w:sz w:val="32"/>
          <w:szCs w:val="32"/>
          <w:lang w:val="en-US" w:eastAsia="zh-CN" w:bidi="ar"/>
        </w:rPr>
        <w:t>按照</w:t>
      </w:r>
      <w:r>
        <w:rPr>
          <w:rFonts w:ascii="CESI仿宋-GB2312" w:hAnsi="CESI仿宋-GB2312" w:eastAsia="CESI仿宋-GB2312" w:cs="CESI仿宋-GB2312"/>
          <w:kern w:val="0"/>
          <w:sz w:val="32"/>
          <w:szCs w:val="32"/>
          <w:lang w:val="en-US" w:eastAsia="zh-CN" w:bidi="ar"/>
        </w:rPr>
        <w:t>《国家税务总局关于进一步促进涉税专业服务行业规范发展的通知》</w:t>
      </w:r>
      <w:r>
        <w:rPr>
          <w:rFonts w:hint="eastAsia" w:ascii="CESI仿宋-GB2312" w:hAnsi="CESI仿宋-GB2312" w:eastAsia="CESI仿宋-GB2312" w:cs="CESI仿宋-GB2312"/>
          <w:kern w:val="0"/>
          <w:sz w:val="32"/>
          <w:szCs w:val="32"/>
          <w:lang w:val="en-US" w:eastAsia="zh-CN" w:bidi="ar"/>
        </w:rPr>
        <w:t>要求</w:t>
      </w:r>
      <w:r>
        <w:rPr>
          <w:rFonts w:ascii="CESI仿宋-GB2312" w:hAnsi="CESI仿宋-GB2312" w:eastAsia="CESI仿宋-GB2312" w:cs="CESI仿宋-GB2312"/>
          <w:kern w:val="0"/>
          <w:sz w:val="32"/>
          <w:szCs w:val="32"/>
          <w:lang w:val="en-US" w:eastAsia="zh-CN" w:bidi="ar"/>
        </w:rPr>
        <w:t>，请认真落实</w:t>
      </w:r>
      <w:r>
        <w:rPr>
          <w:rFonts w:ascii="CESI仿宋-GB2312" w:hAnsi="CESI仿宋-GB2312" w:eastAsia="CESI仿宋-GB2312" w:cs="CESI仿宋-GB2312"/>
          <w:kern w:val="0"/>
          <w:sz w:val="32"/>
          <w:szCs w:val="32"/>
          <w:lang w:val="en-US" w:eastAsia="zh-CN" w:bidi="ar"/>
        </w:rPr>
        <w:t>促进涉税专业服务行业规范</w:t>
      </w:r>
      <w:r>
        <w:rPr>
          <w:rFonts w:hint="eastAsia" w:ascii="CESI仿宋-GB2312" w:hAnsi="CESI仿宋-GB2312" w:eastAsia="CESI仿宋-GB2312" w:cs="CESI仿宋-GB2312"/>
          <w:kern w:val="0"/>
          <w:sz w:val="32"/>
          <w:szCs w:val="32"/>
          <w:lang w:val="en-US" w:eastAsia="zh-CN" w:bidi="ar"/>
        </w:rPr>
        <w:t>的相关规定</w:t>
      </w:r>
      <w:r>
        <w:rPr>
          <w:rFonts w:hint="eastAsia" w:ascii="CESI仿宋-GB2312" w:hAnsi="CESI仿宋-GB2312" w:eastAsia="CESI仿宋-GB2312" w:cs="CESI仿宋-GB2312"/>
          <w:kern w:val="0"/>
          <w:sz w:val="32"/>
          <w:szCs w:val="32"/>
          <w:lang w:val="en-US" w:eastAsia="zh-CN" w:bidi="ar"/>
        </w:rPr>
        <w:t>，现</w:t>
      </w:r>
      <w:r>
        <w:rPr>
          <w:rFonts w:ascii="CESI仿宋-GB2312" w:hAnsi="CESI仿宋-GB2312" w:eastAsia="CESI仿宋-GB2312" w:cs="CESI仿宋-GB2312"/>
          <w:kern w:val="0"/>
          <w:sz w:val="32"/>
          <w:szCs w:val="32"/>
          <w:lang w:val="en-US" w:eastAsia="zh-CN" w:bidi="ar"/>
        </w:rPr>
        <w:t>就有关事项通知如下：</w:t>
      </w:r>
      <w:r>
        <w:rPr>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197" w:beforeAutospacing="0" w:after="0" w:afterAutospacing="0" w:line="360" w:lineRule="auto"/>
        <w:ind w:left="0" w:right="0"/>
        <w:jc w:val="left"/>
        <w:rPr>
          <w:rFonts w:hint="eastAsia" w:ascii="黑体" w:hAnsi="黑体" w:eastAsia="黑体" w:cs="黑体"/>
          <w:sz w:val="32"/>
          <w:szCs w:val="32"/>
        </w:rPr>
      </w:pPr>
      <w:r>
        <w:rPr>
          <w:rFonts w:hint="eastAsia" w:ascii="黑体" w:hAnsi="黑体" w:eastAsia="黑体" w:cs="黑体"/>
          <w:kern w:val="0"/>
          <w:sz w:val="32"/>
          <w:szCs w:val="32"/>
          <w:lang w:val="en-US" w:eastAsia="zh-CN" w:bidi="ar"/>
        </w:rPr>
        <w:t>一、加强涉税专业服务的实名制管理</w:t>
      </w:r>
    </w:p>
    <w:p>
      <w:pPr>
        <w:pStyle w:val="4"/>
        <w:keepNext w:val="0"/>
        <w:keepLines w:val="0"/>
        <w:widowControl/>
        <w:suppressLineNumbers w:val="0"/>
        <w:spacing w:before="189" w:beforeAutospacing="0" w:after="0" w:afterAutospacing="0" w:line="360" w:lineRule="auto"/>
        <w:ind w:left="0" w:right="606" w:firstLine="640"/>
        <w:rPr>
          <w:rFonts w:ascii="仿宋" w:hAnsi="仿宋" w:eastAsia="仿宋" w:cs="仿宋"/>
          <w:sz w:val="32"/>
          <w:szCs w:val="32"/>
        </w:rPr>
      </w:pPr>
      <w:r>
        <w:rPr>
          <w:rFonts w:hint="default" w:ascii="CESI仿宋-GB2312" w:hAnsi="CESI仿宋-GB2312" w:eastAsia="CESI仿宋-GB2312" w:cs="CESI仿宋-GB2312"/>
          <w:sz w:val="32"/>
          <w:szCs w:val="32"/>
        </w:rPr>
        <w:t>各级税务机关要继续夯实涉税专业服务实名制管理工作， 重点整治涉税专业服务机构及其从业人员不按规定履行基本信息、协议要素信息采集义务；不以真实身份从事涉税专业服务；不按时上报年报、专报等行为。</w:t>
      </w:r>
    </w:p>
    <w:p>
      <w:pPr>
        <w:keepNext w:val="0"/>
        <w:keepLines w:val="0"/>
        <w:widowControl/>
        <w:suppressLineNumbers w:val="0"/>
        <w:spacing w:before="199" w:beforeAutospacing="0" w:after="0" w:afterAutospacing="0" w:line="360" w:lineRule="auto"/>
        <w:ind w:left="0" w:right="0"/>
        <w:jc w:val="left"/>
        <w:rPr>
          <w:rFonts w:hint="eastAsia" w:ascii="黑体" w:hAnsi="黑体" w:eastAsia="黑体" w:cs="黑体"/>
          <w:sz w:val="32"/>
          <w:szCs w:val="32"/>
        </w:rPr>
      </w:pPr>
      <w:r>
        <w:rPr>
          <w:rFonts w:hint="eastAsia" w:ascii="黑体" w:hAnsi="黑体" w:eastAsia="黑体" w:cs="黑体"/>
          <w:kern w:val="0"/>
          <w:sz w:val="32"/>
          <w:szCs w:val="32"/>
          <w:lang w:val="en-US" w:eastAsia="zh-CN" w:bidi="ar"/>
        </w:rPr>
        <w:t>二、 强化信用评价管理</w:t>
      </w:r>
    </w:p>
    <w:p>
      <w:pPr>
        <w:pStyle w:val="4"/>
        <w:keepNext w:val="0"/>
        <w:keepLines w:val="0"/>
        <w:widowControl/>
        <w:suppressLineNumbers w:val="0"/>
        <w:spacing w:before="97" w:beforeAutospacing="0" w:after="0" w:afterAutospacing="0" w:line="360" w:lineRule="auto"/>
        <w:ind w:left="0" w:right="0" w:firstLine="640"/>
        <w:rPr>
          <w:rFonts w:hint="eastAsia" w:ascii="仿宋" w:hAnsi="仿宋" w:eastAsia="仿宋" w:cs="仿宋"/>
          <w:sz w:val="32"/>
          <w:szCs w:val="32"/>
        </w:rPr>
      </w:pPr>
      <w:r>
        <w:rPr>
          <w:rFonts w:hint="default" w:ascii="CESI仿宋-GB2312" w:hAnsi="CESI仿宋-GB2312" w:eastAsia="CESI仿宋-GB2312" w:cs="CESI仿宋-GB2312"/>
          <w:sz w:val="32"/>
          <w:szCs w:val="32"/>
        </w:rPr>
        <w:t>要继续充分发挥信用评价在涉税专业服务日常管理中的作用，做好涉税专业服务信用分类分级管理，加大 TSC5 级激励措施的宣传力度和专项服务。</w:t>
      </w:r>
    </w:p>
    <w:p>
      <w:pPr>
        <w:keepNext w:val="0"/>
        <w:keepLines w:val="0"/>
        <w:widowControl/>
        <w:suppressLineNumbers w:val="0"/>
        <w:spacing w:before="197" w:beforeAutospacing="0" w:after="0" w:afterAutospacing="0" w:line="360" w:lineRule="auto"/>
        <w:ind w:right="0"/>
        <w:jc w:val="left"/>
        <w:rPr>
          <w:rFonts w:hint="eastAsia" w:ascii="黑体" w:hAnsi="黑体" w:eastAsia="黑体" w:cs="黑体"/>
          <w:sz w:val="32"/>
          <w:szCs w:val="32"/>
        </w:rPr>
      </w:pPr>
      <w:r>
        <w:rPr>
          <w:rFonts w:hint="eastAsia" w:ascii="黑体" w:hAnsi="黑体" w:eastAsia="黑体" w:cs="黑体"/>
          <w:kern w:val="0"/>
          <w:sz w:val="32"/>
          <w:szCs w:val="32"/>
          <w:lang w:val="en-US" w:eastAsia="zh-CN" w:bidi="ar"/>
        </w:rPr>
        <w:t>三、 做好涉税专业服务信息公开</w:t>
      </w:r>
    </w:p>
    <w:p>
      <w:pPr>
        <w:keepNext w:val="0"/>
        <w:keepLines w:val="0"/>
        <w:widowControl/>
        <w:suppressLineNumbers w:val="0"/>
        <w:spacing w:before="197" w:beforeAutospacing="0" w:after="0" w:afterAutospacing="0" w:line="360" w:lineRule="auto"/>
        <w:ind w:left="0" w:right="0"/>
        <w:jc w:val="left"/>
        <w:rPr>
          <w:rFonts w:hint="default" w:ascii="Calibri" w:hAnsi="Calibri" w:cs="Calibri"/>
          <w:sz w:val="32"/>
          <w:szCs w:val="32"/>
        </w:rPr>
      </w:pPr>
      <w:r>
        <w:rPr>
          <w:rFonts w:hint="default" w:ascii="CESI仿宋-GB2312" w:hAnsi="CESI仿宋-GB2312" w:eastAsia="CESI仿宋-GB2312" w:cs="CESI仿宋-GB2312"/>
          <w:kern w:val="0"/>
          <w:sz w:val="32"/>
          <w:szCs w:val="32"/>
          <w:lang w:val="en-US" w:eastAsia="zh-CN" w:bidi="ar"/>
        </w:rPr>
        <w:t>继续依托税务网站、电子税务局、办税服务场所等渠道，依法依规将涉税专业服务机构的基本信息进行公示，内容包括涉税专业服务机构的统一信用代码、名称、地址、服务范围、从业人数等。</w:t>
      </w:r>
    </w:p>
    <w:p>
      <w:pPr>
        <w:keepNext w:val="0"/>
        <w:keepLines w:val="0"/>
        <w:widowControl/>
        <w:suppressLineNumbers w:val="0"/>
        <w:spacing w:before="194" w:beforeAutospacing="0" w:after="0" w:afterAutospacing="0" w:line="360" w:lineRule="auto"/>
        <w:ind w:right="0"/>
        <w:jc w:val="left"/>
        <w:rPr>
          <w:rFonts w:hint="eastAsia" w:ascii="黑体" w:hAnsi="黑体" w:eastAsia="黑体" w:cs="黑体"/>
          <w:sz w:val="32"/>
          <w:szCs w:val="32"/>
        </w:rPr>
      </w:pPr>
      <w:r>
        <w:rPr>
          <w:rFonts w:hint="eastAsia" w:ascii="黑体" w:hAnsi="黑体" w:eastAsia="黑体" w:cs="黑体"/>
          <w:kern w:val="0"/>
          <w:sz w:val="32"/>
          <w:szCs w:val="32"/>
          <w:lang w:val="en-US" w:eastAsia="zh-CN" w:bidi="ar"/>
        </w:rPr>
        <w:t>四、 依法惩治涉税专业服务领域的违法违规行为</w:t>
      </w:r>
    </w:p>
    <w:p>
      <w:pPr>
        <w:pStyle w:val="4"/>
        <w:keepNext w:val="0"/>
        <w:keepLines w:val="0"/>
        <w:widowControl/>
        <w:suppressLineNumbers w:val="0"/>
        <w:spacing w:before="194" w:beforeAutospacing="0" w:after="0" w:afterAutospacing="0" w:line="360" w:lineRule="auto"/>
        <w:ind w:left="0" w:right="3"/>
        <w:rPr>
          <w:rFonts w:hint="eastAsia" w:ascii="仿宋" w:hAnsi="仿宋" w:eastAsia="仿宋" w:cs="仿宋"/>
          <w:sz w:val="32"/>
          <w:szCs w:val="32"/>
        </w:rPr>
      </w:pPr>
      <w:r>
        <w:rPr>
          <w:rFonts w:hint="default" w:ascii="CESI仿宋-GB2312" w:hAnsi="CESI仿宋-GB2312" w:eastAsia="CESI仿宋-GB2312" w:cs="CESI仿宋-GB2312"/>
          <w:sz w:val="32"/>
          <w:szCs w:val="32"/>
        </w:rPr>
        <w:t>要持续查处涉税专业服务行业各种违法违规活动。重点整治涉税专业服务机构及其从业人员教唆诱导或帮助他人偷逃骗税和虚开发票、恶意筹划、勾结作案等违法违规行为。对涉税专业服务机构及其从业人员违法违规行为，要依法依规予以惩治。</w:t>
      </w:r>
    </w:p>
    <w:p>
      <w:pPr>
        <w:keepNext w:val="0"/>
        <w:keepLines w:val="0"/>
        <w:widowControl/>
        <w:suppressLineNumbers w:val="0"/>
        <w:spacing w:before="192" w:beforeAutospacing="0" w:after="0" w:afterAutospacing="0" w:line="360" w:lineRule="auto"/>
        <w:ind w:right="0"/>
        <w:jc w:val="left"/>
        <w:rPr>
          <w:rFonts w:hint="eastAsia" w:ascii="黑体" w:hAnsi="黑体" w:eastAsia="黑体" w:cs="黑体"/>
          <w:sz w:val="32"/>
          <w:szCs w:val="32"/>
        </w:rPr>
      </w:pPr>
      <w:r>
        <w:rPr>
          <w:rFonts w:hint="eastAsia" w:ascii="黑体" w:hAnsi="黑体" w:eastAsia="黑体" w:cs="黑体"/>
          <w:kern w:val="0"/>
          <w:sz w:val="32"/>
          <w:szCs w:val="32"/>
          <w:lang w:val="en-US" w:eastAsia="zh-CN" w:bidi="ar"/>
        </w:rPr>
        <w:t>五、 加强部门间联合监管</w:t>
      </w:r>
    </w:p>
    <w:p>
      <w:pPr>
        <w:pStyle w:val="4"/>
        <w:keepNext w:val="0"/>
        <w:keepLines w:val="0"/>
        <w:widowControl/>
        <w:suppressLineNumbers w:val="0"/>
        <w:spacing w:before="187" w:beforeAutospacing="0" w:after="0" w:afterAutospacing="0" w:line="360" w:lineRule="auto"/>
        <w:ind w:left="5" w:right="3" w:firstLine="642"/>
        <w:rPr>
          <w:rFonts w:hint="eastAsia" w:ascii="仿宋" w:hAnsi="仿宋" w:eastAsia="仿宋" w:cs="仿宋"/>
          <w:sz w:val="32"/>
          <w:szCs w:val="32"/>
        </w:rPr>
      </w:pPr>
      <w:r>
        <w:rPr>
          <w:rFonts w:hint="default" w:ascii="CESI仿宋-GB2312" w:hAnsi="CESI仿宋-GB2312" w:eastAsia="CESI仿宋-GB2312" w:cs="CESI仿宋-GB2312"/>
          <w:sz w:val="32"/>
          <w:szCs w:val="32"/>
        </w:rPr>
        <w:t>优化三部门协同监管机制，常态化开展线上线下一体化监测处置发布违法违规信息招揽业务、歪曲解读税收政策等扰乱税收秩序问题。</w:t>
      </w:r>
    </w:p>
    <w:p>
      <w:pPr>
        <w:keepNext w:val="0"/>
        <w:keepLines w:val="0"/>
        <w:widowControl/>
        <w:suppressLineNumbers w:val="0"/>
        <w:spacing w:before="193" w:beforeAutospacing="0" w:after="0" w:afterAutospacing="0" w:line="360" w:lineRule="auto"/>
        <w:ind w:right="0"/>
        <w:jc w:val="left"/>
        <w:rPr>
          <w:rFonts w:hint="eastAsia" w:ascii="黑体" w:hAnsi="黑体" w:eastAsia="黑体" w:cs="黑体"/>
          <w:sz w:val="32"/>
          <w:szCs w:val="32"/>
        </w:rPr>
      </w:pPr>
      <w:r>
        <w:rPr>
          <w:rFonts w:hint="eastAsia" w:ascii="黑体" w:hAnsi="黑体" w:eastAsia="黑体" w:cs="黑体"/>
          <w:kern w:val="0"/>
          <w:sz w:val="32"/>
          <w:szCs w:val="32"/>
          <w:lang w:val="en-US" w:eastAsia="zh-CN" w:bidi="ar"/>
        </w:rPr>
        <w:t>六、 加大对违法典型案例的曝光力度</w:t>
      </w:r>
    </w:p>
    <w:p>
      <w:pPr>
        <w:pStyle w:val="4"/>
        <w:keepNext w:val="0"/>
        <w:keepLines w:val="0"/>
        <w:widowControl/>
        <w:suppressLineNumbers w:val="0"/>
        <w:spacing w:before="100" w:beforeAutospacing="0" w:after="0" w:afterAutospacing="0" w:line="360" w:lineRule="auto"/>
        <w:ind w:left="0" w:right="3" w:firstLine="14"/>
        <w:rPr>
          <w:rFonts w:hint="eastAsia" w:ascii="仿宋" w:hAnsi="仿宋" w:eastAsia="仿宋" w:cs="仿宋"/>
          <w:sz w:val="32"/>
          <w:szCs w:val="32"/>
        </w:rPr>
      </w:pPr>
      <w:r>
        <w:rPr>
          <w:rFonts w:hint="default" w:ascii="CESI仿宋-GB2312" w:hAnsi="CESI仿宋-GB2312" w:eastAsia="CESI仿宋-GB2312" w:cs="CESI仿宋-GB2312"/>
          <w:sz w:val="32"/>
          <w:szCs w:val="32"/>
        </w:rPr>
        <w:t>对在日常监管和税务检查中发现的涉税专业服务机构及其从业人员典型违法案例进行公开曝光，增强警示震慑作用，形成良好的社会导向。惩治违法违规行为和典型案例公开曝光工作将作为涉税专业服务监管工作绩效考核的重点。</w:t>
      </w:r>
    </w:p>
    <w:p>
      <w:pPr>
        <w:pStyle w:val="3"/>
        <w:keepNext w:val="0"/>
        <w:keepLines w:val="0"/>
        <w:widowControl/>
        <w:suppressLineNumbers w:val="0"/>
        <w:overflowPunct/>
        <w:autoSpaceDE/>
        <w:autoSpaceDN/>
        <w:adjustRightInd/>
        <w:spacing w:line="360" w:lineRule="auto"/>
        <w:textAlignment w:val="auto"/>
        <w:rPr>
          <w:rFonts w:ascii="仿宋_GB2312" w:hAnsi="仿宋_GB2312" w:eastAsia="仿宋_GB2312" w:cs="仿宋_GB2312"/>
          <w:sz w:val="32"/>
          <w:szCs w:val="32"/>
        </w:rPr>
      </w:pP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w:t>
      </w:r>
    </w:p>
    <w:p>
      <w:pPr>
        <w:pStyle w:val="3"/>
        <w:keepNext w:val="0"/>
        <w:keepLines w:val="0"/>
        <w:widowControl/>
        <w:suppressLineNumbers w:val="0"/>
        <w:overflowPunct/>
        <w:autoSpaceDE/>
        <w:autoSpaceDN/>
        <w:adjustRightInd/>
        <w:spacing w:line="560" w:lineRule="exact"/>
        <w:textAlignment w:val="auto"/>
        <w:rPr>
          <w:rFonts w:ascii="仿宋_GB2312" w:hAnsi="仿宋_GB2312" w:eastAsia="仿宋_GB2312" w:cs="仿宋_GB2312"/>
          <w:sz w:val="32"/>
          <w:szCs w:val="32"/>
        </w:rPr>
      </w:pPr>
    </w:p>
    <w:p>
      <w:pPr>
        <w:pStyle w:val="3"/>
        <w:keepNext w:val="0"/>
        <w:keepLines w:val="0"/>
        <w:widowControl/>
        <w:suppressLineNumbers w:val="0"/>
        <w:overflowPunct/>
        <w:autoSpaceDE/>
        <w:autoSpaceDN/>
        <w:adjustRightInd/>
        <w:spacing w:line="560" w:lineRule="exact"/>
        <w:textAlignment w:val="auto"/>
        <w:rPr>
          <w:rFonts w:ascii="仿宋_GB2312" w:hAnsi="仿宋_GB2312" w:eastAsia="仿宋_GB2312" w:cs="仿宋_GB2312"/>
          <w:sz w:val="32"/>
          <w:szCs w:val="32"/>
        </w:rPr>
      </w:pPr>
      <w:r>
        <w:pict>
          <v:shape id="Object 25" o:spid="_x0000_s1026" o:spt="75" type="#_x0000_t75" style="position:absolute;left:0pt;margin-left:225.8pt;margin-top:-11.65pt;height:140.7pt;width:151.85pt;z-index:-251655168;mso-width-relative:page;mso-height-relative:page;" o:ole="t" filled="f" o:preferrelative="t" stroked="f" coordsize="21600,21600">
            <v:path/>
            <v:fill on="f" focussize="0,0"/>
            <v:stroke on="f"/>
            <v:imagedata r:id="rId6" o:title=""/>
            <o:lock v:ext="edit" aspectratio="t"/>
          </v:shape>
          <o:OLEObject Type="Embed" ProgID="StaticMetafile" ShapeID="Object 25" DrawAspect="Content" ObjectID="_1468075725" r:id="rId5">
            <o:LockedField>false</o:LockedField>
          </o:OLEObject>
        </w:pict>
      </w:r>
    </w:p>
    <w:p>
      <w:pPr>
        <w:pStyle w:val="3"/>
        <w:keepNext w:val="0"/>
        <w:keepLines w:val="0"/>
        <w:widowControl/>
        <w:suppressLineNumbers w:val="0"/>
        <w:overflowPunct/>
        <w:autoSpaceDE/>
        <w:autoSpaceDN/>
        <w:adjustRightInd/>
        <w:spacing w:line="560" w:lineRule="exact"/>
        <w:ind w:firstLine="3840" w:firstLineChars="1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国家税务总局</w:t>
      </w:r>
      <w:r>
        <w:rPr>
          <w:rFonts w:hint="eastAsia" w:ascii="仿宋_GB2312" w:hAnsi="仿宋_GB2312" w:eastAsia="仿宋_GB2312" w:cs="仿宋_GB2312"/>
          <w:color w:val="000000"/>
          <w:sz w:val="32"/>
          <w:szCs w:val="32"/>
          <w:lang w:eastAsia="zh-CN"/>
        </w:rPr>
        <w:t>乌兰察布市</w:t>
      </w:r>
      <w:r>
        <w:rPr>
          <w:rFonts w:hint="eastAsia" w:ascii="仿宋_GB2312" w:hAnsi="仿宋_GB2312" w:eastAsia="仿宋_GB2312" w:cs="仿宋_GB2312"/>
          <w:color w:val="000000"/>
          <w:sz w:val="32"/>
          <w:szCs w:val="32"/>
        </w:rPr>
        <w:t>税务局</w:t>
      </w:r>
    </w:p>
    <w:p>
      <w:pPr>
        <w:pStyle w:val="3"/>
        <w:keepNext w:val="0"/>
        <w:keepLines w:val="0"/>
        <w:widowControl/>
        <w:suppressLineNumbers w:val="0"/>
        <w:overflowPunct/>
        <w:autoSpaceDE/>
        <w:autoSpaceDN/>
        <w:adjustRightInd/>
        <w:spacing w:line="560" w:lineRule="exact"/>
        <w:ind w:left="0" w:firstLine="4806" w:firstLineChars="1502"/>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2023年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日</w:t>
      </w:r>
      <w:r>
        <w:rPr>
          <w:rFonts w:ascii="仿宋_GB2312" w:hAnsi="仿宋_GB2312" w:eastAsia="仿宋_GB2312" w:cs="仿宋_GB2312"/>
          <w:sz w:val="32"/>
          <w:szCs w:val="32"/>
        </w:rPr>
        <w:br w:type="textWrapping"/>
      </w:r>
    </w:p>
    <w:p>
      <w:pPr>
        <w:pStyle w:val="3"/>
        <w:keepNext w:val="0"/>
        <w:keepLines w:val="0"/>
        <w:widowControl/>
        <w:suppressLineNumbers w:val="0"/>
        <w:overflowPunct/>
        <w:autoSpaceDE/>
        <w:autoSpaceDN/>
        <w:adjustRightInd/>
        <w:spacing w:line="560" w:lineRule="exact"/>
        <w:ind w:left="0" w:firstLine="640"/>
        <w:textAlignment w:val="auto"/>
      </w:pPr>
    </w:p>
    <w:p>
      <w:pPr>
        <w:pStyle w:val="3"/>
        <w:keepNext w:val="0"/>
        <w:keepLines w:val="0"/>
        <w:widowControl/>
        <w:suppressLineNumbers w:val="0"/>
        <w:overflowPunct/>
        <w:autoSpaceDE/>
        <w:autoSpaceDN/>
        <w:adjustRightInd/>
        <w:spacing w:line="560" w:lineRule="exact"/>
        <w:ind w:left="0" w:firstLine="640"/>
        <w:textAlignment w:val="auto"/>
      </w:pPr>
    </w:p>
    <w:p>
      <w:pPr>
        <w:keepNext w:val="0"/>
        <w:keepLines w:val="0"/>
        <w:pageBreakBefore w:val="0"/>
        <w:kinsoku/>
        <w:wordWrap/>
        <w:overflowPunct w:val="0"/>
        <w:topLinePunct w:val="0"/>
        <w:autoSpaceDE w:val="0"/>
        <w:autoSpaceDN w:val="0"/>
        <w:bidi w:val="0"/>
        <w:adjustRightInd w:val="0"/>
        <w:spacing w:line="560" w:lineRule="exact"/>
        <w:rPr>
          <w:rFonts w:ascii="黑体" w:hAnsi="黑体" w:eastAsia="黑体"/>
          <w:sz w:val="32"/>
          <w:szCs w:val="32"/>
        </w:rPr>
      </w:pPr>
    </w:p>
    <w:p>
      <w:pPr>
        <w:keepNext w:val="0"/>
        <w:keepLines w:val="0"/>
        <w:pageBreakBefore w:val="0"/>
        <w:kinsoku/>
        <w:wordWrap/>
        <w:overflowPunct w:val="0"/>
        <w:topLinePunct w:val="0"/>
        <w:autoSpaceDE w:val="0"/>
        <w:autoSpaceDN w:val="0"/>
        <w:bidi w:val="0"/>
        <w:adjustRightInd w:val="0"/>
        <w:spacing w:line="560" w:lineRule="exact"/>
        <w:rPr>
          <w:rFonts w:ascii="黑体" w:hAnsi="黑体" w:eastAsia="黑体"/>
          <w:sz w:val="32"/>
          <w:szCs w:val="32"/>
        </w:rPr>
      </w:pPr>
    </w:p>
    <w:p>
      <w:pPr>
        <w:keepNext w:val="0"/>
        <w:keepLines w:val="0"/>
        <w:pageBreakBefore w:val="0"/>
        <w:kinsoku/>
        <w:wordWrap/>
        <w:overflowPunct w:val="0"/>
        <w:topLinePunct w:val="0"/>
        <w:autoSpaceDE w:val="0"/>
        <w:autoSpaceDN w:val="0"/>
        <w:bidi w:val="0"/>
        <w:adjustRightInd w:val="0"/>
        <w:spacing w:line="560" w:lineRule="exact"/>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r>
        <w:rPr>
          <w:rFonts w:hint="eastAsia" w:ascii="仿宋_GB2312" w:hAnsi="仿宋" w:eastAsia="仿宋_GB2312"/>
          <w:sz w:val="32"/>
          <w:szCs w:val="32"/>
        </w:rPr>
        <mc:AlternateContent>
          <mc:Choice Requires="wps">
            <w:drawing>
              <wp:anchor distT="0" distB="0" distL="114300" distR="114300" simplePos="0" relativeHeight="251659264" behindDoc="1" locked="0" layoutInCell="1" allowOverlap="1">
                <wp:simplePos x="0" y="0"/>
                <wp:positionH relativeFrom="column">
                  <wp:posOffset>-173355</wp:posOffset>
                </wp:positionH>
                <wp:positionV relativeFrom="paragraph">
                  <wp:posOffset>129540</wp:posOffset>
                </wp:positionV>
                <wp:extent cx="6120130" cy="635"/>
                <wp:effectExtent l="0" t="31750" r="13970" b="43815"/>
                <wp:wrapNone/>
                <wp:docPr id="2" name="直接连接符 2"/>
                <wp:cNvGraphicFramePr/>
                <a:graphic xmlns:a="http://schemas.openxmlformats.org/drawingml/2006/main">
                  <a:graphicData uri="http://schemas.microsoft.com/office/word/2010/wordprocessingShape">
                    <wps:wsp>
                      <wps:cNvCnPr/>
                      <wps:spPr>
                        <a:xfrm flipV="1">
                          <a:off x="0" y="0"/>
                          <a:ext cx="6120130" cy="635"/>
                        </a:xfrm>
                        <a:prstGeom prst="line">
                          <a:avLst/>
                        </a:prstGeom>
                        <a:ln w="6350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3.65pt;margin-top:10.2pt;height:0.05pt;width:481.9pt;z-index:-251657216;mso-width-relative:page;mso-height-relative:page;" filled="f" stroked="t" coordsize="21600,21600" o:gfxdata="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3tHptkAAAAJAQAADwAAAAAAAAABACAAAAAiAAAAZHJzL2Rv&#10;d25yZXYueG1sUEsBAhQAFAAAAAgAh07iQFvJm94AAgAA9wMAAA4AAAAAAAAAAQAgAAAAKAEAAGRy&#10;cy9lMm9Eb2MueG1sUEsFBgAAAAAGAAYAWQEAAJoFAAAAAA==&#10;">
                <v:fill on="f" focussize="0,0"/>
                <v:stroke weight="5pt" color="#FF0000" linestyle="thinThick" joinstyle="round"/>
                <v:imagedata o:title=""/>
                <o:lock v:ext="edit" aspectratio="f"/>
              </v:line>
            </w:pict>
          </mc:Fallback>
        </mc:AlternateContent>
      </w:r>
    </w:p>
    <w:p/>
    <w:sectPr>
      <w:pgSz w:w="11907" w:h="16840"/>
      <w:pgMar w:top="1418" w:right="1418" w:bottom="1134" w:left="1418" w:header="851" w:footer="992" w:gutter="17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ESI仿宋-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404F8C"/>
    <w:rsid w:val="5E9B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szCs w:val="21"/>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3">
    <w:name w:val="HTML Preformatted"/>
    <w:basedOn w:val="1"/>
    <w:unhideWhenUsed/>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2023-11-16T08:17:00Z</dcterms:created>
  <dc:creator>Administrator</dc:creator>
  <cp:lastModifiedBy>郭琴</cp:lastModifiedBy>
  <dcterms:modified xsi:type="dcterms:W3CDTF">2023-11-16T08:33:23Z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