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r>
        <w:drawing>
          <wp:anchor distT="0" distB="0" distL="114300" distR="114300" simplePos="0" relativeHeight="251660288" behindDoc="1" locked="0" layoutInCell="1" allowOverlap="1">
            <wp:simplePos x="0" y="0"/>
            <wp:positionH relativeFrom="margin">
              <wp:posOffset>-267970</wp:posOffset>
            </wp:positionH>
            <wp:positionV relativeFrom="paragraph">
              <wp:posOffset>-99695</wp:posOffset>
            </wp:positionV>
            <wp:extent cx="6111240" cy="1410335"/>
            <wp:effectExtent l="0" t="0" r="3810" b="18415"/>
            <wp:wrapNone/>
            <wp:docPr id="1" name="图片 2" descr="乌税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乌税函"/>
                    <pic:cNvPicPr>
                      <a:picLocks noChangeAspect="1"/>
                    </pic:cNvPicPr>
                  </pic:nvPicPr>
                  <pic:blipFill>
                    <a:blip r:embed="rId4"/>
                    <a:stretch>
                      <a:fillRect/>
                    </a:stretch>
                  </pic:blipFill>
                  <pic:spPr>
                    <a:xfrm>
                      <a:off x="0" y="0"/>
                      <a:ext cx="6111240" cy="1410335"/>
                    </a:xfrm>
                    <a:prstGeom prst="rect">
                      <a:avLst/>
                    </a:prstGeom>
                    <a:noFill/>
                    <a:ln>
                      <a:noFill/>
                    </a:ln>
                  </pic:spPr>
                </pic:pic>
              </a:graphicData>
            </a:graphic>
          </wp:anchor>
        </w:drawing>
      </w: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pStyle w:val="3"/>
        <w:keepNext w:val="0"/>
        <w:keepLines w:val="0"/>
        <w:widowControl/>
        <w:suppressLineNumbers w:val="0"/>
        <w:overflowPunct/>
        <w:autoSpaceDE/>
        <w:autoSpaceDN/>
        <w:adjustRightIn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国家税务总局乌兰察布市税务局深化拓展“五措并举”工作法落实出口退税、研发费用加计扣除、土地增值税管理工作指引</w:t>
      </w:r>
    </w:p>
    <w:p>
      <w:pPr>
        <w:pStyle w:val="3"/>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color w:val="000000"/>
          <w:sz w:val="32"/>
          <w:szCs w:val="32"/>
        </w:rPr>
      </w:pPr>
    </w:p>
    <w:p>
      <w:pPr>
        <w:pStyle w:val="3"/>
        <w:keepNext w:val="0"/>
        <w:keepLines w:val="0"/>
        <w:widowControl/>
        <w:suppressLineNumbers w:val="0"/>
        <w:overflowPunct/>
        <w:autoSpaceDE/>
        <w:autoSpaceDN/>
        <w:adjustRightInd/>
        <w:spacing w:line="560" w:lineRule="exact"/>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国家税务总局各</w:t>
      </w:r>
      <w:r>
        <w:rPr>
          <w:rFonts w:hint="eastAsia" w:ascii="仿宋_GB2312" w:hAnsi="仿宋_GB2312" w:eastAsia="仿宋_GB2312" w:cs="仿宋_GB2312"/>
          <w:color w:val="000000"/>
          <w:sz w:val="32"/>
          <w:szCs w:val="32"/>
          <w:lang w:eastAsia="zh-CN"/>
        </w:rPr>
        <w:t>旗县市区</w:t>
      </w:r>
      <w:r>
        <w:rPr>
          <w:rFonts w:hint="eastAsia" w:ascii="仿宋_GB2312" w:hAnsi="仿宋_GB2312" w:eastAsia="仿宋_GB2312" w:cs="仿宋_GB2312"/>
          <w:color w:val="000000"/>
          <w:sz w:val="32"/>
          <w:szCs w:val="32"/>
        </w:rPr>
        <w:t>税务局，局内各有关单位：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出口退税、研发费用加计扣除、土地增值税管理提质增效，保障党中央、国务院决策部署落实落地，自治区税务局制定并下发了《深化拓展“五措并举”工作法落实出口退税、研发费用加计扣除、土地增值税管理工作指引（试行）》（内税办发〔2023〕35号），</w:t>
      </w:r>
      <w:bookmarkStart w:id="10" w:name="_GoBack"/>
      <w:bookmarkEnd w:id="10"/>
      <w:r>
        <w:rPr>
          <w:rFonts w:hint="eastAsia" w:ascii="仿宋_GB2312" w:hAnsi="仿宋_GB2312" w:eastAsia="仿宋_GB2312" w:cs="仿宋_GB2312"/>
          <w:sz w:val="32"/>
          <w:szCs w:val="32"/>
        </w:rPr>
        <w:t>要求完善出口退（免）税企业分类管理，出口企业管理类别年度评定工作应于企业纳税信用级别评价结果确定后1个月内完成。同时，推行出口退（免）税实地核查“容缺办理”等，旨在进一步助力企业纾解困难，激发出口企业活力潜力，更优打造外贸营商环境，更好促进外贸平稳发展。现就做好落实工作通知如下：</w:t>
      </w:r>
    </w:p>
    <w:p>
      <w:pPr>
        <w:spacing w:line="560" w:lineRule="exact"/>
        <w:outlineLvl w:val="0"/>
        <w:rPr>
          <w:rFonts w:ascii="仿宋" w:hAnsi="仿宋" w:eastAsia="仿宋" w:cs="仿宋"/>
          <w:sz w:val="32"/>
          <w:szCs w:val="32"/>
        </w:rPr>
      </w:pPr>
      <w:r>
        <w:rPr>
          <w:rFonts w:hint="eastAsia" w:ascii="仿宋" w:hAnsi="仿宋" w:eastAsia="仿宋" w:cs="仿宋"/>
          <w:sz w:val="32"/>
          <w:szCs w:val="32"/>
        </w:rPr>
        <w:tab/>
      </w:r>
      <w:bookmarkStart w:id="0" w:name="_Toc14946"/>
      <w:bookmarkStart w:id="1" w:name="_Toc15945"/>
      <w:r>
        <w:rPr>
          <w:rFonts w:hint="eastAsia" w:ascii="黑体" w:hAnsi="黑体" w:eastAsia="黑体" w:cs="黑体"/>
          <w:sz w:val="32"/>
          <w:szCs w:val="32"/>
        </w:rPr>
        <w:t>一、提高思想认识，做好贯彻落实</w:t>
      </w:r>
      <w:bookmarkEnd w:id="0"/>
      <w:bookmarkEnd w:id="1"/>
    </w:p>
    <w:p>
      <w:pPr>
        <w:spacing w:line="560" w:lineRule="exact"/>
        <w:rPr>
          <w:rFonts w:hint="eastAsia" w:ascii="仿宋" w:hAnsi="仿宋" w:eastAsia="仿宋" w:cs="仿宋"/>
          <w:sz w:val="32"/>
          <w:szCs w:val="32"/>
        </w:rPr>
      </w:pPr>
      <w:r>
        <w:rPr>
          <w:rFonts w:hint="eastAsia" w:ascii="仿宋" w:hAnsi="仿宋" w:eastAsia="仿宋" w:cs="仿宋"/>
          <w:sz w:val="32"/>
          <w:szCs w:val="32"/>
        </w:rPr>
        <w:tab/>
      </w:r>
      <w:r>
        <w:rPr>
          <w:rFonts w:hint="eastAsia" w:ascii="仿宋_GB2312" w:hAnsi="仿宋_GB2312" w:eastAsia="仿宋_GB2312" w:cs="仿宋_GB2312"/>
          <w:sz w:val="32"/>
          <w:szCs w:val="32"/>
        </w:rPr>
        <w:t>深化拓展“五措并举”工作法落实出口退税、研发费用加计扣除、土地增值税管理是税务总局和自治区税务局党委作出的重要决策，是深入落实自治区税务局党委“1358”工作思路的重要部署,是推动出口退税、研发费用加计扣除、土地增值税管理等重大税收政策精准高效落实的重要举措。各旗县市区税务局和局内各单位要切实提升政治站位，充分认识深化拓展“五措并举”工作方法的重要意义，把深化拓展“五措并举”工作方法与学习贯彻习近平新时代中国特色社会主义思想主题教育相融合，确保工作取得实效。</w:t>
      </w:r>
    </w:p>
    <w:p>
      <w:pPr>
        <w:numPr>
          <w:ilvl w:val="0"/>
          <w:numId w:val="1"/>
        </w:numPr>
        <w:spacing w:line="560" w:lineRule="exact"/>
        <w:ind w:left="640" w:firstLine="0" w:firstLineChars="0"/>
        <w:outlineLvl w:val="0"/>
        <w:rPr>
          <w:rFonts w:hint="eastAsia" w:ascii="黑体" w:hAnsi="黑体" w:eastAsia="黑体" w:cs="黑体"/>
          <w:sz w:val="32"/>
          <w:szCs w:val="32"/>
        </w:rPr>
      </w:pPr>
      <w:bookmarkStart w:id="2" w:name="_Toc27143"/>
      <w:bookmarkStart w:id="3" w:name="_Toc25356"/>
      <w:r>
        <w:rPr>
          <w:rFonts w:hint="eastAsia" w:ascii="黑体" w:hAnsi="黑体" w:eastAsia="黑体" w:cs="黑体"/>
          <w:sz w:val="32"/>
          <w:szCs w:val="32"/>
        </w:rPr>
        <w:t>强化组织领导，统筹协调推进</w:t>
      </w:r>
      <w:bookmarkEnd w:id="2"/>
      <w:bookmarkEnd w:id="3"/>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市区税务局要加强对深化拓展“五措并举”工作法落实出口退税、研发费用加计扣除、土地增值税管理工作的组织领导，主要负责同志作为第一责任人要亲自研究部署，分管领导结合分管工作具体负责，统筹部署工作推进任务，定期听取有关工作情况报告，及时研究解决工作中的重大问题，确保各项工作部署落地落细。</w:t>
      </w:r>
    </w:p>
    <w:p>
      <w:pPr>
        <w:numPr>
          <w:ilvl w:val="0"/>
          <w:numId w:val="2"/>
        </w:numPr>
        <w:spacing w:line="560" w:lineRule="exact"/>
        <w:ind w:left="640" w:firstLine="0" w:firstLineChars="0"/>
        <w:outlineLvl w:val="0"/>
        <w:rPr>
          <w:rFonts w:hint="eastAsia" w:ascii="黑体" w:hAnsi="黑体" w:eastAsia="黑体" w:cs="黑体"/>
          <w:sz w:val="32"/>
          <w:szCs w:val="32"/>
        </w:rPr>
      </w:pPr>
      <w:bookmarkStart w:id="4" w:name="_Toc29856"/>
      <w:bookmarkStart w:id="5" w:name="_Toc24495"/>
      <w:r>
        <w:rPr>
          <w:rFonts w:hint="eastAsia" w:ascii="黑体" w:hAnsi="黑体" w:eastAsia="黑体" w:cs="黑体"/>
          <w:sz w:val="32"/>
          <w:szCs w:val="32"/>
        </w:rPr>
        <w:t>强化任务分工，形成拓展合力</w:t>
      </w:r>
      <w:bookmarkEnd w:id="4"/>
      <w:bookmarkEnd w:id="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法制部门负责深化拓展“五措并举”工作方法总体统筹和组织协调工作，货劳、所得、财行三部门分别牵头负责出口退税、研发费用加计扣除、土地增值税管理具体拓展和运用工作，数风、稽查、督审、纪检、办公室、纳服、税宣中心等部门根据职责分工负责，有效形成横向打通、纵向贯通的工作落实体系。各部门要切实履行运用和指导双重职责，一方面，要落实本部门职责范围内深化拓展工作任务；另一方面，还应督促指导下级对口部门落实执行，对下级遇到的疑难问题，积极研究解决，对共性工作统筹部署，避免重复劳动。</w:t>
      </w:r>
    </w:p>
    <w:p>
      <w:pPr>
        <w:numPr>
          <w:ilvl w:val="0"/>
          <w:numId w:val="3"/>
        </w:numPr>
        <w:spacing w:line="560" w:lineRule="exact"/>
        <w:ind w:left="640" w:firstLine="0" w:firstLineChars="0"/>
        <w:outlineLvl w:val="0"/>
        <w:rPr>
          <w:rFonts w:hint="eastAsia" w:ascii="黑体" w:hAnsi="黑体" w:eastAsia="黑体" w:cs="黑体"/>
          <w:sz w:val="32"/>
          <w:szCs w:val="32"/>
        </w:rPr>
      </w:pPr>
      <w:bookmarkStart w:id="6" w:name="_Toc28303"/>
      <w:bookmarkStart w:id="7" w:name="_Toc19529"/>
      <w:r>
        <w:rPr>
          <w:rFonts w:hint="eastAsia" w:ascii="黑体" w:hAnsi="黑体" w:eastAsia="黑体" w:cs="黑体"/>
          <w:sz w:val="32"/>
          <w:szCs w:val="32"/>
        </w:rPr>
        <w:t>加强问题反馈，促进优化完善</w:t>
      </w:r>
      <w:bookmarkEnd w:id="6"/>
      <w:bookmarkEnd w:id="7"/>
    </w:p>
    <w:p>
      <w:pPr>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各旗县市区税务局和局内各单位要把深化拓展“五措并举”工作方法各项要求落实到位，坚持问题导向，聚焦“快退税款、狠打骗退、严查内错、欢迎外督、持续宣传”重点环节和具体事项，及时向</w:t>
      </w:r>
      <w:r>
        <w:rPr>
          <w:rFonts w:hint="eastAsia" w:ascii="仿宋_GB2312" w:hAnsi="仿宋_GB2312" w:eastAsia="仿宋_GB2312" w:cs="仿宋_GB2312"/>
          <w:sz w:val="32"/>
          <w:szCs w:val="32"/>
          <w:lang w:eastAsia="zh-CN"/>
        </w:rPr>
        <w:t>法制科</w:t>
      </w:r>
      <w:r>
        <w:rPr>
          <w:rFonts w:hint="eastAsia" w:ascii="仿宋_GB2312" w:hAnsi="仿宋_GB2312" w:eastAsia="仿宋_GB2312" w:cs="仿宋_GB2312"/>
          <w:sz w:val="32"/>
          <w:szCs w:val="32"/>
        </w:rPr>
        <w:t>反馈拓展运用中遇到的问题和优化工作指引的意见建议。</w:t>
      </w:r>
    </w:p>
    <w:p>
      <w:pPr>
        <w:numPr>
          <w:ilvl w:val="0"/>
          <w:numId w:val="4"/>
        </w:numPr>
        <w:spacing w:line="560" w:lineRule="exact"/>
        <w:ind w:left="640" w:firstLine="0" w:firstLineChars="0"/>
        <w:outlineLvl w:val="0"/>
        <w:rPr>
          <w:rFonts w:hint="eastAsia" w:ascii="黑体" w:hAnsi="黑体" w:eastAsia="黑体" w:cs="黑体"/>
          <w:sz w:val="32"/>
          <w:szCs w:val="32"/>
        </w:rPr>
      </w:pPr>
      <w:bookmarkStart w:id="8" w:name="_Toc15389"/>
      <w:bookmarkStart w:id="9" w:name="_Toc14724"/>
      <w:r>
        <w:rPr>
          <w:rFonts w:hint="eastAsia" w:ascii="黑体" w:hAnsi="黑体" w:eastAsia="黑体" w:cs="黑体"/>
          <w:sz w:val="32"/>
          <w:szCs w:val="32"/>
        </w:rPr>
        <w:t>注重总结提炼，务求取得实效</w:t>
      </w:r>
      <w:bookmarkEnd w:id="8"/>
      <w:bookmarkEnd w:id="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市区税务局和局内各单位在深化拓展“五措并举”工作中要注重总结提炼，可结合本地实际对各项举措进行优化和完善。为了全面、及时、准确掌握深化拓展“五措并举”工作开展情况，请各旗县市区税务局（法制部门）及局内各单位，在每季度结束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个工作日内将推进情况报送至法制科王娅婷税务通，包括但不限于工作进展、发现问题、工作成效、经验做法、意见建议等内容，首次请于5月28日前报送。</w:t>
      </w:r>
    </w:p>
    <w:p>
      <w:pPr>
        <w:pStyle w:val="3"/>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sz w:val="32"/>
          <w:szCs w:val="32"/>
        </w:rPr>
      </w:pPr>
    </w:p>
    <w:p>
      <w:pPr>
        <w:pStyle w:val="3"/>
        <w:keepNext w:val="0"/>
        <w:keepLines w:val="0"/>
        <w:widowControl/>
        <w:suppressLineNumbers w:val="0"/>
        <w:overflowPunct/>
        <w:autoSpaceDE/>
        <w:autoSpaceDN/>
        <w:adjustRightInd/>
        <w:spacing w:line="560" w:lineRule="exact"/>
        <w:ind w:firstLine="3840" w:firstLineChars="1200"/>
        <w:textAlignment w:val="auto"/>
        <w:rPr>
          <w:rFonts w:hint="eastAsia" w:ascii="仿宋_GB2312" w:hAnsi="仿宋_GB2312" w:eastAsia="仿宋_GB2312" w:cs="仿宋_GB2312"/>
          <w:color w:val="000000"/>
          <w:sz w:val="32"/>
          <w:szCs w:val="32"/>
        </w:rPr>
      </w:pPr>
    </w:p>
    <w:p>
      <w:pPr>
        <w:pStyle w:val="3"/>
        <w:keepNext w:val="0"/>
        <w:keepLines w:val="0"/>
        <w:widowControl/>
        <w:suppressLineNumbers w:val="0"/>
        <w:overflowPunct/>
        <w:autoSpaceDE/>
        <w:autoSpaceDN/>
        <w:adjustRightInd/>
        <w:spacing w:line="560" w:lineRule="exact"/>
        <w:ind w:firstLine="3840" w:firstLineChars="1200"/>
        <w:textAlignment w:val="auto"/>
        <w:rPr>
          <w:rFonts w:hint="eastAsia" w:ascii="仿宋_GB2312" w:hAnsi="仿宋_GB2312" w:eastAsia="仿宋_GB2312" w:cs="仿宋_GB2312"/>
          <w:color w:val="000000"/>
          <w:sz w:val="32"/>
          <w:szCs w:val="32"/>
        </w:rPr>
      </w:pPr>
    </w:p>
    <w:p>
      <w:pPr>
        <w:pStyle w:val="3"/>
        <w:keepNext w:val="0"/>
        <w:keepLines w:val="0"/>
        <w:widowControl/>
        <w:suppressLineNumbers w:val="0"/>
        <w:overflowPunct/>
        <w:autoSpaceDE/>
        <w:autoSpaceDN/>
        <w:adjustRightInd/>
        <w:spacing w:line="560" w:lineRule="exact"/>
        <w:ind w:firstLine="3840" w:firstLineChars="1200"/>
        <w:textAlignment w:val="auto"/>
        <w:rPr>
          <w:rFonts w:hint="eastAsia" w:ascii="仿宋_GB2312" w:hAnsi="仿宋_GB2312" w:eastAsia="仿宋_GB2312" w:cs="仿宋_GB2312"/>
          <w:color w:val="000000"/>
          <w:sz w:val="32"/>
          <w:szCs w:val="32"/>
        </w:rPr>
      </w:pPr>
      <w:r>
        <w:rPr>
          <w:rFonts w:ascii="仿宋" w:hAnsi="仿宋" w:eastAsia="仿宋" w:cs="仿宋"/>
          <w:color w:val="333333"/>
          <w:kern w:val="0"/>
          <w:sz w:val="32"/>
          <w:szCs w:val="32"/>
          <w:lang w:val="en-US" w:eastAsia="zh-CN" w:bidi="ar"/>
        </w:rPr>
        <w:pict>
          <v:shape id="Object 25" o:spid="_x0000_s1027" o:spt="75" type="#_x0000_t75" style="position:absolute;left:0pt;margin-left:230.8pt;margin-top:5.95pt;height:140.7pt;width:151.85pt;z-index:-251655168;mso-width-relative:page;mso-height-relative:page;" o:ole="t" filled="f" o:preferrelative="t" stroked="f" coordsize="21600,21600">
            <v:path/>
            <v:fill on="f" focussize="0,0"/>
            <v:stroke on="f"/>
            <v:imagedata r:id="rId6" o:title=""/>
            <o:lock v:ext="edit" aspectratio="t"/>
          </v:shape>
          <o:OLEObject Type="Embed" ProgID="StaticMetafile" ShapeID="Object 25" DrawAspect="Content" ObjectID="_1468075725" r:id="rId5">
            <o:LockedField>false</o:LockedField>
          </o:OLEObject>
        </w:pict>
      </w:r>
    </w:p>
    <w:p>
      <w:pPr>
        <w:pStyle w:val="3"/>
        <w:keepNext w:val="0"/>
        <w:keepLines w:val="0"/>
        <w:widowControl/>
        <w:suppressLineNumbers w:val="0"/>
        <w:overflowPunct/>
        <w:autoSpaceDE/>
        <w:autoSpaceDN/>
        <w:adjustRightInd/>
        <w:spacing w:line="560" w:lineRule="exact"/>
        <w:ind w:firstLine="3840" w:firstLineChars="1200"/>
        <w:textAlignment w:val="auto"/>
        <w:rPr>
          <w:rFonts w:hint="eastAsia" w:ascii="仿宋_GB2312" w:hAnsi="仿宋_GB2312" w:eastAsia="仿宋_GB2312" w:cs="仿宋_GB2312"/>
          <w:color w:val="000000"/>
          <w:sz w:val="32"/>
          <w:szCs w:val="32"/>
        </w:rPr>
      </w:pPr>
    </w:p>
    <w:p>
      <w:pPr>
        <w:pStyle w:val="3"/>
        <w:keepNext w:val="0"/>
        <w:keepLines w:val="0"/>
        <w:widowControl/>
        <w:suppressLineNumbers w:val="0"/>
        <w:overflowPunct/>
        <w:autoSpaceDE/>
        <w:autoSpaceDN/>
        <w:adjustRightInd/>
        <w:spacing w:line="560" w:lineRule="exact"/>
        <w:ind w:firstLine="3840" w:firstLineChars="1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国家税务总局</w:t>
      </w:r>
      <w:r>
        <w:rPr>
          <w:rFonts w:hint="eastAsia" w:ascii="仿宋_GB2312" w:hAnsi="仿宋_GB2312" w:eastAsia="仿宋_GB2312" w:cs="仿宋_GB2312"/>
          <w:color w:val="000000"/>
          <w:sz w:val="32"/>
          <w:szCs w:val="32"/>
          <w:lang w:eastAsia="zh-CN"/>
        </w:rPr>
        <w:t>乌兰察布市</w:t>
      </w:r>
      <w:r>
        <w:rPr>
          <w:rFonts w:hint="eastAsia" w:ascii="仿宋_GB2312" w:hAnsi="仿宋_GB2312" w:eastAsia="仿宋_GB2312" w:cs="仿宋_GB2312"/>
          <w:color w:val="000000"/>
          <w:sz w:val="32"/>
          <w:szCs w:val="32"/>
        </w:rPr>
        <w:t>税务局</w:t>
      </w:r>
    </w:p>
    <w:p>
      <w:pPr>
        <w:pStyle w:val="3"/>
        <w:keepNext w:val="0"/>
        <w:keepLines w:val="0"/>
        <w:widowControl/>
        <w:suppressLineNumbers w:val="0"/>
        <w:overflowPunct/>
        <w:autoSpaceDE/>
        <w:autoSpaceDN/>
        <w:adjustRightInd/>
        <w:spacing w:line="560" w:lineRule="exact"/>
        <w:ind w:left="0" w:firstLine="4806" w:firstLineChars="1502"/>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日</w:t>
      </w:r>
      <w:r>
        <w:rPr>
          <w:rFonts w:ascii="仿宋_GB2312" w:hAnsi="仿宋_GB2312" w:eastAsia="仿宋_GB2312" w:cs="仿宋_GB2312"/>
          <w:sz w:val="32"/>
          <w:szCs w:val="32"/>
        </w:rPr>
        <w:br w:type="textWrapping"/>
      </w:r>
    </w:p>
    <w:p>
      <w:pPr>
        <w:pStyle w:val="3"/>
        <w:keepNext w:val="0"/>
        <w:keepLines w:val="0"/>
        <w:widowControl/>
        <w:suppressLineNumbers w:val="0"/>
        <w:overflowPunct/>
        <w:autoSpaceDE/>
        <w:autoSpaceDN/>
        <w:adjustRightInd/>
        <w:spacing w:line="560" w:lineRule="exact"/>
        <w:ind w:left="0" w:firstLine="640"/>
        <w:textAlignment w:val="auto"/>
      </w:pPr>
    </w:p>
    <w:p>
      <w:pPr>
        <w:pStyle w:val="3"/>
        <w:keepNext w:val="0"/>
        <w:keepLines w:val="0"/>
        <w:widowControl/>
        <w:suppressLineNumbers w:val="0"/>
        <w:overflowPunct/>
        <w:autoSpaceDE/>
        <w:autoSpaceDN/>
        <w:adjustRightInd/>
        <w:spacing w:line="560" w:lineRule="exact"/>
        <w:ind w:left="0" w:firstLine="640"/>
        <w:textAlignment w:val="auto"/>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r>
        <w:rPr>
          <w:rFonts w:hint="eastAsia" w:ascii="仿宋_GB2312" w:hAnsi="仿宋" w:eastAsia="仿宋_GB2312"/>
          <w:sz w:val="32"/>
          <w:szCs w:val="32"/>
        </w:rPr>
        <mc:AlternateContent>
          <mc:Choice Requires="wps">
            <w:drawing>
              <wp:anchor distT="0" distB="0" distL="114300" distR="114300" simplePos="0" relativeHeight="251659264" behindDoc="1" locked="0" layoutInCell="1" allowOverlap="1">
                <wp:simplePos x="0" y="0"/>
                <wp:positionH relativeFrom="column">
                  <wp:posOffset>-173355</wp:posOffset>
                </wp:positionH>
                <wp:positionV relativeFrom="paragraph">
                  <wp:posOffset>129540</wp:posOffset>
                </wp:positionV>
                <wp:extent cx="6120130" cy="635"/>
                <wp:effectExtent l="0" t="31750" r="13970" b="43815"/>
                <wp:wrapNone/>
                <wp:docPr id="2" name="直接连接符 2"/>
                <wp:cNvGraphicFramePr/>
                <a:graphic xmlns:a="http://schemas.openxmlformats.org/drawingml/2006/main">
                  <a:graphicData uri="http://schemas.microsoft.com/office/word/2010/wordprocessingShape">
                    <wps:wsp>
                      <wps:cNvCnPr/>
                      <wps:spPr>
                        <a:xfrm flipV="1">
                          <a:off x="0" y="0"/>
                          <a:ext cx="6120130" cy="635"/>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5pt;margin-top:10.2pt;height:0.05pt;width:481.9pt;z-index:-251657216;mso-width-relative:page;mso-height-relative:page;" filled="f" stroked="t" coordsize="21600,21600" o:gfxdata="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3tHptkAAAAJAQAADwAAAAAAAAABACAAAAAiAAAAZHJzL2Rv&#10;d25yZXYueG1sUEsBAhQAFAAAAAgAh07iQFvJm94AAgAA9wMAAA4AAAAAAAAAAQAgAAAAKAEAAGRy&#10;cy9lMm9Eb2MueG1sUEsFBgAAAAAGAAYAWQEAAJoFAAAAAA==&#10;">
                <v:fill on="f" focussize="0,0"/>
                <v:stroke weight="5pt" color="#FF0000" linestyle="thinThick" joinstyle="round"/>
                <v:imagedata o:title=""/>
                <o:lock v:ext="edit" aspectratio="f"/>
              </v:line>
            </w:pict>
          </mc:Fallback>
        </mc:AlternateContent>
      </w:r>
    </w:p>
    <w:p/>
    <w:sectPr>
      <w:pgSz w:w="11907" w:h="16840"/>
      <w:pgMar w:top="1418" w:right="1418" w:bottom="1134" w:left="1418" w:header="851" w:footer="992" w:gutter="17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74B2"/>
    <w:multiLevelType w:val="singleLevel"/>
    <w:tmpl w:val="900474B2"/>
    <w:lvl w:ilvl="0" w:tentative="0">
      <w:start w:val="3"/>
      <w:numFmt w:val="chineseCounting"/>
      <w:suff w:val="nothing"/>
      <w:lvlText w:val="%1、"/>
      <w:lvlJc w:val="left"/>
      <w:pPr>
        <w:ind w:left="640" w:firstLine="0"/>
      </w:pPr>
      <w:rPr>
        <w:rFonts w:hint="eastAsia"/>
      </w:rPr>
    </w:lvl>
  </w:abstractNum>
  <w:abstractNum w:abstractNumId="1">
    <w:nsid w:val="9E68E47D"/>
    <w:multiLevelType w:val="singleLevel"/>
    <w:tmpl w:val="9E68E47D"/>
    <w:lvl w:ilvl="0" w:tentative="0">
      <w:start w:val="5"/>
      <w:numFmt w:val="chineseCounting"/>
      <w:suff w:val="nothing"/>
      <w:lvlText w:val="%1、"/>
      <w:lvlJc w:val="left"/>
      <w:pPr>
        <w:ind w:left="640" w:firstLine="0"/>
      </w:pPr>
      <w:rPr>
        <w:rFonts w:hint="eastAsia"/>
      </w:rPr>
    </w:lvl>
  </w:abstractNum>
  <w:abstractNum w:abstractNumId="2">
    <w:nsid w:val="1C68121A"/>
    <w:multiLevelType w:val="singleLevel"/>
    <w:tmpl w:val="1C68121A"/>
    <w:lvl w:ilvl="0" w:tentative="0">
      <w:start w:val="2"/>
      <w:numFmt w:val="chineseCounting"/>
      <w:suff w:val="nothing"/>
      <w:lvlText w:val="%1、"/>
      <w:lvlJc w:val="left"/>
      <w:pPr>
        <w:ind w:left="640" w:firstLine="0"/>
      </w:pPr>
      <w:rPr>
        <w:rFonts w:hint="eastAsia"/>
      </w:rPr>
    </w:lvl>
  </w:abstractNum>
  <w:abstractNum w:abstractNumId="3">
    <w:nsid w:val="4750B9CC"/>
    <w:multiLevelType w:val="singleLevel"/>
    <w:tmpl w:val="4750B9CC"/>
    <w:lvl w:ilvl="0" w:tentative="0">
      <w:start w:val="4"/>
      <w:numFmt w:val="chineseCounting"/>
      <w:suff w:val="nothing"/>
      <w:lvlText w:val="%1、"/>
      <w:lvlJc w:val="left"/>
      <w:pPr>
        <w:ind w:left="640" w:firstLine="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04F8C"/>
    <w:rsid w:val="3DC764CD"/>
    <w:rsid w:val="58BC6078"/>
    <w:rsid w:val="5E9B7C7E"/>
    <w:rsid w:val="64CD5ABD"/>
    <w:rsid w:val="6D2A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HTML Preformatted"/>
    <w:basedOn w:val="1"/>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2023-11-16T08:17:00Z</dcterms:created>
  <dc:creator>Administrator</dc:creator>
  <cp:lastModifiedBy>郭琴</cp:lastModifiedBy>
  <dcterms:modified xsi:type="dcterms:W3CDTF">2023-11-17T02:48:36Z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