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eastAsia="宋体"/>
          <w:color w:val="auto"/>
          <w:sz w:val="44"/>
          <w:szCs w:val="44"/>
          <w:lang w:eastAsia="zh-CN"/>
        </w:rPr>
      </w:pPr>
      <w:bookmarkStart w:id="0" w:name="swjgmc"/>
      <w:bookmarkEnd w:id="0"/>
      <w:r>
        <w:rPr>
          <w:rFonts w:hint="eastAsia" w:ascii="宋体" w:hAnsi="宋体"/>
          <w:color w:val="auto"/>
          <w:sz w:val="44"/>
          <w:szCs w:val="44"/>
          <w:lang w:eastAsia="zh-CN"/>
        </w:rPr>
        <w:t>国家税务总局乌海市税务局稽查局</w:t>
      </w:r>
    </w:p>
    <w:p>
      <w:pPr>
        <w:snapToGrid w:val="0"/>
        <w:jc w:val="center"/>
        <w:rPr>
          <w:rFonts w:ascii="宋体" w:hAnsi="宋体"/>
          <w:color w:val="auto"/>
          <w:sz w:val="52"/>
          <w:szCs w:val="52"/>
        </w:rPr>
      </w:pPr>
      <w:r>
        <w:rPr>
          <w:rFonts w:hint="eastAsia" w:ascii="宋体" w:hAnsi="宋体"/>
          <w:color w:val="auto"/>
          <w:sz w:val="52"/>
          <w:szCs w:val="52"/>
          <w:lang w:eastAsia="zh-CN"/>
        </w:rPr>
        <w:t>不予</w:t>
      </w:r>
      <w:r>
        <w:rPr>
          <w:rFonts w:hint="eastAsia" w:ascii="宋体" w:hAnsi="宋体"/>
          <w:color w:val="auto"/>
          <w:sz w:val="52"/>
          <w:szCs w:val="52"/>
        </w:rPr>
        <w:t>税务行政处罚决定书</w:t>
      </w:r>
    </w:p>
    <w:p>
      <w:pPr>
        <w:pStyle w:val="7"/>
        <w:jc w:val="center"/>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乌海税稽不罚〔2025〕1号</w:t>
      </w:r>
    </w:p>
    <w:p>
      <w:pPr>
        <w:pStyle w:val="7"/>
        <w:jc w:val="center"/>
        <w:rPr>
          <w:rFonts w:hint="eastAsia" w:ascii="仿宋" w:hAnsi="仿宋" w:eastAsia="仿宋" w:cs="Times New Roman"/>
          <w:color w:val="C00000"/>
          <w:sz w:val="32"/>
          <w:szCs w:val="32"/>
          <w:lang w:val="en-US" w:eastAsia="zh-CN"/>
        </w:rPr>
      </w:pPr>
      <w:r>
        <w:rPr>
          <w:rFonts w:hint="eastAsia"/>
          <w:color w:val="FF0000"/>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231140</wp:posOffset>
                </wp:positionV>
                <wp:extent cx="5687695" cy="0"/>
                <wp:effectExtent l="0" t="20320" r="8255" b="36830"/>
                <wp:wrapNone/>
                <wp:docPr id="2" name="直接箭头连接符 2"/>
                <wp:cNvGraphicFramePr/>
                <a:graphic xmlns:a="http://schemas.openxmlformats.org/drawingml/2006/main">
                  <a:graphicData uri="http://schemas.microsoft.com/office/word/2010/wordprocessingShape">
                    <wps:wsp>
                      <wps:cNvCnPr/>
                      <wps:spPr>
                        <a:xfrm>
                          <a:off x="0" y="0"/>
                          <a:ext cx="5687695" cy="0"/>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8pt;margin-top:18.2pt;height:0pt;width:447.85pt;z-index:251660288;mso-width-relative:page;mso-height-relative:page;" filled="f" stroked="t" coordsize="21600,21600" o:gfxdata="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uVfp1wAAAAkBAAAPAAAAAAAAAAEAIAAAACIAAABkcnMvZG93bnJl&#10;di54bWxQSwECFAAUAAAACACHTuJASii87v4BAADtAwAADgAAAAAAAAABACAAAAAmAQAAZHJzL2Uy&#10;b0RvYy54bWxQSwUGAAAAAAYABgBZAQAAlgUAAAAA&#10;">
                <v:fill on="f" focussize="0,0"/>
                <v:stroke weight="3.25pt" color="#000000" joinstyle="round"/>
                <v:imagedata o:title=""/>
                <o:lock v:ext="edit" aspectratio="f"/>
              </v:shape>
            </w:pict>
          </mc:Fallback>
        </mc:AlternateContent>
      </w:r>
    </w:p>
    <w:p>
      <w:pPr>
        <w:pStyle w:val="3"/>
        <w:spacing w:line="620" w:lineRule="exact"/>
        <w:ind w:left="0" w:leftChars="0" w:firstLine="0" w:firstLineChars="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内蒙古品祺煤炭销售有限公司（纳税人识别号：</w:t>
      </w:r>
      <w:bookmarkStart w:id="1" w:name="nsrsbh"/>
      <w:bookmarkEnd w:id="1"/>
      <w:r>
        <w:rPr>
          <w:rFonts w:hint="eastAsia" w:ascii="仿宋" w:hAnsi="仿宋" w:eastAsia="仿宋"/>
          <w:color w:val="auto"/>
          <w:sz w:val="32"/>
          <w:szCs w:val="32"/>
        </w:rPr>
        <w:t>91150302MA0QMBXX01</w:t>
      </w:r>
      <w:r>
        <w:rPr>
          <w:rFonts w:hint="eastAsia" w:ascii="仿宋" w:hAnsi="仿宋" w:eastAsia="仿宋"/>
          <w:szCs w:val="32"/>
          <w:lang w:val="en-US" w:eastAsia="zh-CN"/>
        </w:rPr>
        <w:t>）</w:t>
      </w:r>
      <w:r>
        <w:rPr>
          <w:rFonts w:hint="eastAsia" w:ascii="仿宋_GB2312" w:hAnsi="宋体" w:eastAsia="仿宋_GB2312" w:cs="Times New Roman"/>
          <w:color w:val="auto"/>
          <w:sz w:val="32"/>
          <w:szCs w:val="32"/>
          <w:lang w:val="en-US" w:eastAsia="zh-CN"/>
        </w:rPr>
        <w:t>：</w:t>
      </w:r>
    </w:p>
    <w:p>
      <w:pPr>
        <w:numPr>
          <w:ilvl w:val="0"/>
          <w:numId w:val="0"/>
        </w:numPr>
        <w:spacing w:line="360" w:lineRule="auto"/>
        <w:ind w:right="-336" w:rightChars="-160" w:firstLine="593"/>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我局</w:t>
      </w:r>
      <w:bookmarkStart w:id="2" w:name="jcrqq"/>
      <w:bookmarkEnd w:id="2"/>
      <w:r>
        <w:rPr>
          <w:rFonts w:hint="eastAsia" w:ascii="仿宋_GB2312" w:hAnsi="宋体" w:eastAsia="仿宋_GB2312" w:cs="Times New Roman"/>
          <w:color w:val="000000" w:themeColor="text1"/>
          <w:sz w:val="32"/>
          <w:szCs w:val="32"/>
          <w:lang w:val="en-US" w:eastAsia="zh-CN"/>
          <w14:textFill>
            <w14:solidFill>
              <w14:schemeClr w14:val="tx1"/>
            </w14:solidFill>
          </w14:textFill>
        </w:rPr>
        <w:t>从</w:t>
      </w:r>
      <w:r>
        <w:rPr>
          <w:rFonts w:hint="eastAsia" w:ascii="仿宋_GB2312" w:hAnsi="宋体" w:eastAsia="仿宋_GB2312"/>
          <w:color w:val="000000" w:themeColor="text1"/>
          <w:sz w:val="32"/>
          <w:szCs w:val="32"/>
          <w14:textFill>
            <w14:solidFill>
              <w14:schemeClr w14:val="tx1"/>
            </w14:solidFill>
          </w14:textFill>
        </w:rPr>
        <w:t>2024年3月27日</w:t>
      </w:r>
      <w:r>
        <w:rPr>
          <w:rFonts w:hint="eastAsia" w:ascii="仿宋_GB2312" w:hAnsi="宋体" w:eastAsia="仿宋_GB2312" w:cs="Times New Roman"/>
          <w:color w:val="auto"/>
          <w:sz w:val="32"/>
          <w:szCs w:val="32"/>
          <w:lang w:val="en-US" w:eastAsia="zh-CN"/>
        </w:rPr>
        <w:t>至2025年8月1日对你</w:t>
      </w:r>
      <w:r>
        <w:rPr>
          <w:rFonts w:hint="eastAsia" w:ascii="仿宋_GB2312" w:hAnsi="宋体" w:eastAsia="仿宋_GB2312" w:cs="Times New Roman"/>
          <w:color w:val="000000" w:themeColor="text1"/>
          <w:sz w:val="32"/>
          <w:szCs w:val="32"/>
          <w:lang w:val="en-US" w:eastAsia="zh-CN"/>
          <w14:textFill>
            <w14:solidFill>
              <w14:schemeClr w14:val="tx1"/>
            </w14:solidFill>
          </w14:textFill>
        </w:rPr>
        <w:t>单</w:t>
      </w:r>
      <w:r>
        <w:rPr>
          <w:rFonts w:hint="eastAsia" w:ascii="仿宋_GB2312" w:hAnsi="宋体" w:eastAsia="仿宋_GB2312" w:cs="Times New Roman"/>
          <w:color w:val="auto"/>
          <w:sz w:val="32"/>
          <w:szCs w:val="32"/>
          <w:lang w:val="en-US" w:eastAsia="zh-CN"/>
        </w:rPr>
        <w:t>位（地址：内蒙古自治区乌海市海勃湾区凤凰岭东街三街坊泰安小区北区7 号楼13 号</w:t>
      </w:r>
      <w:r>
        <w:rPr>
          <w:rFonts w:hint="eastAsia" w:ascii="仿宋_GB2312" w:hAnsi="宋体" w:eastAsia="仿宋_GB2312" w:cs="Times New Roman"/>
          <w:color w:val="000000" w:themeColor="text1"/>
          <w:sz w:val="32"/>
          <w:szCs w:val="32"/>
          <w:lang w:val="en-US" w:eastAsia="zh-CN"/>
          <w14:textFill>
            <w14:solidFill>
              <w14:schemeClr w14:val="tx1"/>
            </w14:solidFill>
          </w14:textFill>
        </w:rPr>
        <w:t>）2020年3月27日至2022年12月31日</w:t>
      </w:r>
      <w:r>
        <w:rPr>
          <w:rFonts w:hint="eastAsia" w:ascii="仿宋_GB2312" w:hAnsi="仿宋" w:eastAsia="仿宋_GB2312"/>
          <w:color w:val="auto"/>
          <w:sz w:val="32"/>
        </w:rPr>
        <w:t>涉税情况进行了检查</w:t>
      </w:r>
      <w:r>
        <w:rPr>
          <w:rFonts w:hint="eastAsia" w:ascii="仿宋_GB2312" w:hAnsi="宋体" w:eastAsia="仿宋_GB2312" w:cs="Times New Roman"/>
          <w:color w:val="auto"/>
          <w:sz w:val="32"/>
          <w:szCs w:val="32"/>
          <w:lang w:val="en-US" w:eastAsia="zh-CN"/>
        </w:rPr>
        <w:t>，你单位存在违法事实如下：</w:t>
      </w:r>
    </w:p>
    <w:p>
      <w:pPr>
        <w:ind w:firstLine="736" w:firstLineChars="230"/>
        <w:outlineLvl w:val="0"/>
        <w:rPr>
          <w:rFonts w:hint="eastAsia" w:ascii="黑体" w:hAnsi="黑体" w:eastAsia="黑体"/>
          <w:b/>
          <w:color w:val="auto"/>
          <w:sz w:val="32"/>
          <w:szCs w:val="30"/>
        </w:rPr>
      </w:pPr>
      <w:r>
        <w:rPr>
          <w:rFonts w:hint="eastAsia" w:ascii="黑体" w:hAnsi="黑体" w:eastAsia="黑体"/>
          <w:color w:val="auto"/>
          <w:sz w:val="32"/>
          <w:szCs w:val="30"/>
        </w:rPr>
        <w:t>一、违法事实</w:t>
      </w:r>
      <w:r>
        <w:rPr>
          <w:rFonts w:hint="eastAsia" w:ascii="黑体" w:eastAsia="黑体"/>
          <w:color w:val="auto"/>
          <w:sz w:val="32"/>
        </w:rPr>
        <w:t>及证据</w:t>
      </w:r>
    </w:p>
    <w:p>
      <w:pPr>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000000" w:themeColor="text1"/>
          <w:sz w:val="32"/>
          <w:szCs w:val="32"/>
          <w:lang w:val="en-US" w:eastAsia="zh-CN"/>
          <w14:textFill>
            <w14:solidFill>
              <w14:schemeClr w14:val="tx1"/>
            </w14:solidFill>
          </w14:textFill>
        </w:rPr>
        <w:t>根据</w:t>
      </w:r>
      <w:bookmarkStart w:id="3" w:name="_GoBack"/>
      <w:r>
        <w:rPr>
          <w:rFonts w:hint="eastAsia" w:ascii="仿宋_GB2312" w:hAnsi="宋体" w:eastAsia="仿宋_GB2312" w:cs="Times New Roman"/>
          <w:color w:val="000000" w:themeColor="text1"/>
          <w:sz w:val="32"/>
          <w:szCs w:val="32"/>
          <w:lang w:val="en-US" w:eastAsia="zh-CN"/>
          <w14:textFill>
            <w14:solidFill>
              <w14:schemeClr w14:val="tx1"/>
            </w14:solidFill>
          </w14:textFill>
        </w:rPr>
        <w:t>《税务处理决定书》（乌海税稽处〔2025〕6号）</w:t>
      </w:r>
      <w:bookmarkEnd w:id="3"/>
      <w:r>
        <w:rPr>
          <w:rFonts w:hint="eastAsia" w:ascii="仿宋_GB2312" w:hAnsi="宋体" w:eastAsia="仿宋_GB2312" w:cs="Times New Roman"/>
          <w:color w:val="auto"/>
          <w:sz w:val="32"/>
          <w:szCs w:val="32"/>
          <w:lang w:val="en-US" w:eastAsia="zh-CN"/>
        </w:rPr>
        <w:t>认定你单位存在以下违法事实：</w:t>
      </w:r>
    </w:p>
    <w:p>
      <w:pPr>
        <w:numPr>
          <w:ilvl w:val="0"/>
          <w:numId w:val="0"/>
        </w:numPr>
        <w:ind w:firstLine="640" w:firstLineChars="200"/>
        <w:jc w:val="both"/>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你单位</w:t>
      </w:r>
      <w:r>
        <w:rPr>
          <w:rFonts w:hint="eastAsia" w:ascii="仿宋_GB2312" w:hAnsi="仿宋" w:eastAsia="仿宋_GB2312"/>
          <w:color w:val="auto"/>
          <w:sz w:val="32"/>
          <w:szCs w:val="32"/>
        </w:rPr>
        <w:t>没有真实的煤炭交易业务，制作假合同、假</w:t>
      </w:r>
      <w:r>
        <w:rPr>
          <w:rFonts w:hint="eastAsia" w:ascii="仿宋_GB2312" w:hAnsi="仿宋" w:eastAsia="仿宋_GB2312"/>
          <w:color w:val="auto"/>
          <w:sz w:val="32"/>
          <w:szCs w:val="32"/>
          <w:lang w:eastAsia="zh-CN"/>
        </w:rPr>
        <w:t>磅</w:t>
      </w:r>
      <w:r>
        <w:rPr>
          <w:rFonts w:hint="eastAsia" w:ascii="仿宋_GB2312" w:hAnsi="仿宋" w:eastAsia="仿宋_GB2312"/>
          <w:color w:val="auto"/>
          <w:sz w:val="32"/>
          <w:szCs w:val="32"/>
        </w:rPr>
        <w:t>单，虚构经济业务给乌海市广顺达物流有限公司、内蒙古金拴煤业有限公司、鄂尔多斯市沪尚煤业有限公司、乌海市天宇能源有限公司、乌海市恒尔商贸有限公司开具增值税专用发票138份，不含税金额12,824,553.42元，税额1,667,192.00元，价税合计14,491,745.42元，其中回流金额为12,993,193.88元</w:t>
      </w:r>
      <w:r>
        <w:rPr>
          <w:rFonts w:hint="eastAsia" w:ascii="仿宋_GB2312" w:hAnsi="仿宋" w:eastAsia="仿宋_GB2312"/>
          <w:color w:val="auto"/>
          <w:sz w:val="32"/>
          <w:szCs w:val="32"/>
          <w:lang w:eastAsia="zh-CN"/>
        </w:rPr>
        <w:t>。</w:t>
      </w:r>
    </w:p>
    <w:p>
      <w:pPr>
        <w:ind w:right="-99" w:rightChars="-47" w:firstLine="640" w:firstLineChars="200"/>
        <w:jc w:val="both"/>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根据</w:t>
      </w:r>
      <w:r>
        <w:rPr>
          <w:rFonts w:hint="eastAsia" w:ascii="仿宋_GB2312" w:hAnsi="仿宋" w:eastAsia="仿宋_GB2312"/>
          <w:color w:val="auto"/>
          <w:sz w:val="32"/>
          <w:szCs w:val="32"/>
        </w:rPr>
        <w:t>《中华人民共和国发票管理办法》第二十一条第二款规定，“任何单位和个人不得有下列虚开发票行为：（一）为他人、为自己开具与实际经营业务情况不符的发票；（二）让他人为自己开具与实际经营业务情况不符的发票；（三）介绍他人开具与实际经营业务情况不符的发票。”</w:t>
      </w:r>
      <w:r>
        <w:rPr>
          <w:rFonts w:hint="eastAsia" w:ascii="仿宋_GB2312" w:hAnsi="仿宋" w:eastAsia="仿宋_GB2312"/>
          <w:color w:val="auto"/>
          <w:sz w:val="32"/>
          <w:szCs w:val="32"/>
          <w:lang w:eastAsia="zh-CN"/>
        </w:rPr>
        <w:t>你单位的行为属于虚开发票行为，虚开</w:t>
      </w:r>
      <w:r>
        <w:rPr>
          <w:rFonts w:hint="eastAsia" w:ascii="仿宋_GB2312" w:hAnsi="仿宋" w:eastAsia="仿宋_GB2312"/>
          <w:color w:val="auto"/>
          <w:sz w:val="32"/>
          <w:szCs w:val="32"/>
        </w:rPr>
        <w:t>增值税专用发票</w:t>
      </w:r>
      <w:r>
        <w:rPr>
          <w:rFonts w:hint="eastAsia" w:ascii="仿宋_GB2312" w:hAnsi="仿宋" w:eastAsia="仿宋_GB2312"/>
          <w:color w:val="auto"/>
          <w:sz w:val="32"/>
          <w:szCs w:val="32"/>
          <w:lang w:eastAsia="zh-CN"/>
        </w:rPr>
        <w:t>份数</w:t>
      </w:r>
      <w:r>
        <w:rPr>
          <w:rFonts w:hint="eastAsia" w:ascii="仿宋_GB2312" w:hAnsi="仿宋" w:eastAsia="仿宋_GB2312"/>
          <w:color w:val="auto"/>
          <w:sz w:val="32"/>
          <w:szCs w:val="32"/>
          <w:lang w:val="en-US" w:eastAsia="zh-CN"/>
        </w:rPr>
        <w:t>138份，</w:t>
      </w:r>
      <w:r>
        <w:rPr>
          <w:rFonts w:hint="eastAsia" w:ascii="仿宋_GB2312" w:hAnsi="仿宋" w:eastAsia="仿宋_GB2312"/>
          <w:color w:val="auto"/>
          <w:sz w:val="32"/>
          <w:szCs w:val="32"/>
        </w:rPr>
        <w:t>不含税金额12,824,553.42元，税额1,667,192.00元，价税合计14,491,745.42元</w:t>
      </w:r>
      <w:r>
        <w:rPr>
          <w:rFonts w:hint="eastAsia" w:ascii="仿宋_GB2312" w:hAnsi="仿宋" w:eastAsia="仿宋_GB2312"/>
          <w:color w:val="auto"/>
          <w:sz w:val="32"/>
          <w:szCs w:val="32"/>
          <w:lang w:eastAsia="zh-CN"/>
        </w:rPr>
        <w:t>。</w:t>
      </w:r>
    </w:p>
    <w:p>
      <w:pPr>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上述违法事实，主要有以下证据证明：开具开票明细和认证抵扣情况、公安案卷证据资料等。</w:t>
      </w:r>
    </w:p>
    <w:p>
      <w:pPr>
        <w:ind w:firstLine="640" w:firstLineChars="200"/>
        <w:jc w:val="both"/>
        <w:rPr>
          <w:rFonts w:hint="eastAsia" w:ascii="黑体" w:hAnsi="黑体" w:eastAsia="黑体"/>
          <w:color w:val="auto"/>
          <w:sz w:val="32"/>
          <w:szCs w:val="30"/>
        </w:rPr>
      </w:pPr>
      <w:r>
        <w:rPr>
          <w:rFonts w:hint="eastAsia" w:ascii="黑体" w:hAnsi="黑体" w:eastAsia="黑体"/>
          <w:color w:val="auto"/>
          <w:sz w:val="32"/>
          <w:szCs w:val="30"/>
        </w:rPr>
        <w:t>二、处罚决定</w:t>
      </w:r>
    </w:p>
    <w:p>
      <w:pPr>
        <w:ind w:firstLine="645"/>
        <w:jc w:val="both"/>
        <w:rPr>
          <w:rFonts w:hint="eastAsia" w:ascii="仿宋_GB2312" w:hAnsi="仿宋" w:eastAsia="仿宋_GB2312"/>
          <w:color w:val="auto"/>
          <w:sz w:val="32"/>
          <w:szCs w:val="32"/>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上述行为违反</w:t>
      </w:r>
      <w:r>
        <w:rPr>
          <w:rFonts w:hint="eastAsia" w:ascii="仿宋_GB2312" w:hAnsi="仿宋" w:eastAsia="仿宋_GB2312"/>
          <w:color w:val="auto"/>
          <w:sz w:val="32"/>
          <w:szCs w:val="32"/>
        </w:rPr>
        <w:t>《中华人民共和国发票管理办法》第二十一条第二款规定，“任何单位和个人不得有下列虚开发票行为：（一）为他人、为自己开具与实际经营业务情况不符的发票；（二）让他人为自己开具与实际经营业务情况不符的发票；（三）介绍他人开具与实际经营业务情况不符的发票。”</w:t>
      </w:r>
      <w:r>
        <w:rPr>
          <w:rFonts w:hint="eastAsia" w:ascii="仿宋_GB2312" w:hAnsi="仿宋" w:eastAsia="仿宋_GB2312"/>
          <w:color w:val="auto"/>
          <w:sz w:val="32"/>
          <w:szCs w:val="32"/>
          <w:lang w:val="en-US" w:eastAsia="zh-CN"/>
        </w:rPr>
        <w:t xml:space="preserve"> </w:t>
      </w:r>
    </w:p>
    <w:p>
      <w:pPr>
        <w:ind w:firstLine="645"/>
        <w:jc w:val="both"/>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auto"/>
          <w:sz w:val="32"/>
          <w:szCs w:val="32"/>
        </w:rPr>
        <w:t>鉴于上述税收违法行为</w:t>
      </w:r>
      <w:r>
        <w:rPr>
          <w:rFonts w:hint="eastAsia" w:ascii="仿宋_GB2312" w:hAnsi="仿宋" w:eastAsia="仿宋_GB2312"/>
          <w:color w:val="auto"/>
          <w:sz w:val="32"/>
          <w:szCs w:val="32"/>
          <w:lang w:eastAsia="zh-CN"/>
        </w:rPr>
        <w:t>，</w:t>
      </w:r>
      <w:r>
        <w:rPr>
          <w:rFonts w:hint="eastAsia" w:ascii="仿宋_GB2312" w:hAnsi="仿宋" w:eastAsia="仿宋_GB2312"/>
          <w:color w:val="000000" w:themeColor="text1"/>
          <w:sz w:val="32"/>
          <w:szCs w:val="32"/>
          <w:lang w:eastAsia="zh-CN"/>
          <w14:textFill>
            <w14:solidFill>
              <w14:schemeClr w14:val="tx1"/>
            </w14:solidFill>
          </w14:textFill>
        </w:rPr>
        <w:t>内蒙古自治区乌海市海南区人民法院刑事判决书（</w:t>
      </w:r>
      <w:r>
        <w:rPr>
          <w:rFonts w:hint="eastAsia" w:ascii="仿宋_GB2312" w:hAnsi="仿宋" w:eastAsia="仿宋_GB2312"/>
          <w:color w:val="000000" w:themeColor="text1"/>
          <w:sz w:val="32"/>
          <w:szCs w:val="32"/>
          <w:lang w:val="en-US" w:eastAsia="zh-CN"/>
          <w14:textFill>
            <w14:solidFill>
              <w14:schemeClr w14:val="tx1"/>
            </w14:solidFill>
          </w14:textFill>
        </w:rPr>
        <w:t>2024）内0303刑初97号，被告人杨俊杰犯虚开增值税专用犯罪，判处有期徒刑五年，并处罚金人民币二十五万元，被告人韩二雷犯虚开增值税专用犯罪，判处有期徒刑三年，缓刑四年，并处罚金人民币三万元。因为已追究刑事责任，判处罚金，根据《中华人民共和国行政处罚法》第三十五条“违法行为构成犯罪，人民法院判处拘役或者有期徒刑时，行政机关已经给予当事人行政拘留的，应当依法折抵相应刑期。违法行为构成犯罪，人民法院判处罚金时，行政机关已经给予当事人罚款的，应当折抵相应罚金；行政机关尚未给予当事人罚款的，不再给予罚款。”规定，现决定不予行政处罚</w:t>
      </w:r>
      <w:r>
        <w:rPr>
          <w:rFonts w:hint="eastAsia" w:ascii="仿宋_GB2312" w:hAnsi="仿宋" w:eastAsia="仿宋_GB2312"/>
          <w:color w:val="000000" w:themeColor="text1"/>
          <w:sz w:val="32"/>
          <w:szCs w:val="32"/>
          <w:lang w:eastAsia="zh-CN"/>
          <w14:textFill>
            <w14:solidFill>
              <w14:schemeClr w14:val="tx1"/>
            </w14:solidFill>
          </w14:textFill>
        </w:rPr>
        <w:t>。</w:t>
      </w:r>
    </w:p>
    <w:p>
      <w:pPr>
        <w:numPr>
          <w:ilvl w:val="0"/>
          <w:numId w:val="0"/>
        </w:numPr>
        <w:spacing w:line="360" w:lineRule="auto"/>
        <w:ind w:right="-336" w:rightChars="-160" w:firstLine="640" w:firstLineChars="200"/>
        <w:rPr>
          <w:rFonts w:hint="eastAsia" w:ascii="仿宋_GB2312" w:hAnsi="宋体" w:eastAsia="仿宋_GB2312" w:cs="Times New Roman"/>
          <w:color w:val="000000" w:themeColor="text1"/>
          <w:sz w:val="32"/>
          <w:szCs w:val="32"/>
          <w:lang w:val="en-US" w:eastAsia="zh-CN"/>
          <w14:textFill>
            <w14:solidFill>
              <w14:schemeClr w14:val="tx1"/>
            </w14:solidFill>
          </w14:textFill>
        </w:rPr>
      </w:pPr>
      <w:r>
        <w:rPr>
          <w:rFonts w:hint="eastAsia" w:ascii="仿宋_GB2312" w:hAnsi="宋体" w:eastAsia="仿宋_GB2312" w:cs="Times New Roman"/>
          <w:color w:val="000000" w:themeColor="text1"/>
          <w:sz w:val="32"/>
          <w:szCs w:val="32"/>
          <w:lang w:val="en-US" w:eastAsia="zh-CN"/>
          <w14:textFill>
            <w14:solidFill>
              <w14:schemeClr w14:val="tx1"/>
            </w14:solidFill>
          </w14:textFill>
        </w:rPr>
        <w:t>如对本决定不服，可以自收到本决定书之日起六十日内依法向国家税务总局乌海市税务局申请行政复议，或者自收到本决定书之日起六个月内依法向人民法院起诉。</w:t>
      </w:r>
    </w:p>
    <w:p>
      <w:pPr>
        <w:pStyle w:val="2"/>
        <w:rPr>
          <w:rFonts w:hint="eastAsia" w:ascii="仿宋_GB2312" w:hAnsi="宋体" w:eastAsia="仿宋_GB2312" w:cs="Times New Roman"/>
          <w:color w:val="000000" w:themeColor="text1"/>
          <w:sz w:val="32"/>
          <w:szCs w:val="32"/>
          <w:lang w:val="en-US" w:eastAsia="zh-CN"/>
          <w14:textFill>
            <w14:solidFill>
              <w14:schemeClr w14:val="tx1"/>
            </w14:solidFill>
          </w14:textFill>
        </w:rPr>
      </w:pPr>
    </w:p>
    <w:p>
      <w:pPr>
        <w:rPr>
          <w:rFonts w:hint="eastAsia"/>
          <w:lang w:val="en-US" w:eastAsia="zh-CN"/>
        </w:rPr>
      </w:pPr>
    </w:p>
    <w:p>
      <w:pPr>
        <w:ind w:firstLine="4480" w:firstLineChars="1400"/>
        <w:jc w:val="both"/>
        <w:rPr>
          <w:rFonts w:hint="eastAsia" w:ascii="仿宋_GB2312" w:hAnsi="宋体" w:eastAsia="仿宋_GB2312"/>
          <w:color w:val="000000" w:themeColor="text1"/>
          <w:sz w:val="32"/>
          <w:szCs w:val="30"/>
          <w:lang w:val="en-US" w:eastAsia="zh-CN"/>
          <w14:textFill>
            <w14:solidFill>
              <w14:schemeClr w14:val="tx1"/>
            </w14:solidFill>
          </w14:textFill>
        </w:rPr>
      </w:pPr>
      <w:r>
        <w:rPr>
          <w:rFonts w:hint="eastAsia" w:ascii="仿宋_GB2312" w:hAnsi="宋体" w:eastAsia="仿宋_GB2312"/>
          <w:color w:val="000000" w:themeColor="text1"/>
          <w:sz w:val="32"/>
          <w:szCs w:val="30"/>
          <w:lang w:val="en-US" w:eastAsia="zh-CN"/>
          <w14:textFill>
            <w14:solidFill>
              <w14:schemeClr w14:val="tx1"/>
            </w14:solidFill>
          </w14:textFill>
        </w:rPr>
        <w:t>二Ｏ二五年八月七日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1F51"/>
    <w:rsid w:val="0E0072C6"/>
    <w:rsid w:val="1E623541"/>
    <w:rsid w:val="2DDC1947"/>
    <w:rsid w:val="2E9A7A29"/>
    <w:rsid w:val="33F07591"/>
    <w:rsid w:val="3FFF29F1"/>
    <w:rsid w:val="4FFA6C29"/>
    <w:rsid w:val="7D4A1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2"/>
    <w:basedOn w:val="1"/>
    <w:qFormat/>
    <w:uiPriority w:val="0"/>
    <w:pPr>
      <w:adjustRightInd w:val="0"/>
      <w:snapToGrid w:val="0"/>
      <w:spacing w:line="300" w:lineRule="auto"/>
      <w:ind w:firstLine="570"/>
    </w:pPr>
    <w:rPr>
      <w:rFonts w:hint="eastAsia" w:ascii="楷体_GB2312" w:eastAsia="楷体_GB2312"/>
      <w:sz w:val="3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2025-08-05T01:36:00Z</dcterms:created>
  <dc:creator>张俊丽</dc:creator>
  <cp:lastModifiedBy>张俊丽</cp:lastModifiedBy>
  <dcterms:modified xsi:type="dcterms:W3CDTF">2025-08-07T01:23:01Z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