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63" w:tblpY="2488"/>
        <w:tblOverlap w:val="never"/>
        <w:tblW w:w="77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809"/>
        <w:gridCol w:w="567"/>
        <w:gridCol w:w="3827"/>
        <w:gridCol w:w="709"/>
        <w:gridCol w:w="708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检查主体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检查方式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房地产业随机抽查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国家税务总局巴彦淖尔市税务局第一稽查局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国务院办公厅关于推广随机抽查规范事中事后监管的通知》（国办发〔2015〕58号）、《国家税务总局关于印发推进税务稽查随机抽查实施方案的通知》（税总发〔2015〕104号）、《国家税务总局关于印发税务稽查案源管理办法（试行）的通知》（税总发〔2016〕71号）、《国家税务总局关于印发税务稽查随机抽查对象名录库管理办法（试行）的通知》（税总发〔2016〕73号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国家税务总局内蒙古自治区税务局稽查局关于做好2022年区局双随机重点稽查对象检查工作的通知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内税稽便函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〔20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调账检查、实地检查相结合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各类涉税事项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共计查补税款43.79万元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税务稽查随机抽查事项清单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税务稽查随机抽查事项清单</w:t>
      </w:r>
    </w:p>
    <w:tbl>
      <w:tblPr>
        <w:tblStyle w:val="2"/>
        <w:tblpPr w:leftFromText="180" w:rightFromText="180" w:vertAnchor="page" w:horzAnchor="page" w:tblpX="2063" w:tblpY="2488"/>
        <w:tblOverlap w:val="never"/>
        <w:tblW w:w="77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809"/>
        <w:gridCol w:w="567"/>
        <w:gridCol w:w="3827"/>
        <w:gridCol w:w="709"/>
        <w:gridCol w:w="708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检查主体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检查方式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批发和零售业业——建材批发随机抽查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国家税务总局巴彦淖尔市税务局第一稽查局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40"/>
                <w:tab w:val="left" w:pos="888"/>
                <w:tab w:val="left" w:pos="1184"/>
                <w:tab w:val="left" w:pos="1776"/>
                <w:tab w:val="left" w:pos="2516"/>
                <w:tab w:val="left" w:pos="2664"/>
                <w:tab w:val="left" w:pos="3552"/>
                <w:tab w:val="left" w:pos="3996"/>
                <w:tab w:val="left" w:pos="4884"/>
                <w:tab w:val="left" w:pos="5772"/>
                <w:tab w:val="left" w:pos="7104"/>
                <w:tab w:val="left" w:pos="7696"/>
                <w:tab w:val="left" w:pos="7992"/>
                <w:tab w:val="left" w:pos="8436"/>
              </w:tabs>
              <w:spacing w:line="56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国务院办公厅关于推广随机抽查规范事中事后监管的通知》（国办发〔2015〕58号）、《国家税务总局关于印发推进税务稽查随机抽查实施方案的通知》（税总发〔2015〕104号）、《国家税务总局关于印发税务稽查案源管理办法（试行）的通知》（税总发〔2016〕71号）、《国家税务总局关于印发税务稽查随机抽查对象名录库管理办法（试行）的通知》（税总发〔2016〕73号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国家税务总局内蒙古自治区税务局稽查局关于做好2022年区局双随机重点稽查对象检查工作的通知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内税稽便函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〔20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调账检查、实地检查相结合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各类涉税事项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共计查补税款8.67万元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税务稽查随机抽查事项清单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2063" w:tblpY="2488"/>
        <w:tblOverlap w:val="never"/>
        <w:tblW w:w="77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809"/>
        <w:gridCol w:w="567"/>
        <w:gridCol w:w="3827"/>
        <w:gridCol w:w="709"/>
        <w:gridCol w:w="708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检查主体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检查方式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建筑业随机抽查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国家税务总局巴彦淖尔市税务局第一稽查局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40"/>
                <w:tab w:val="left" w:pos="888"/>
                <w:tab w:val="left" w:pos="1184"/>
                <w:tab w:val="left" w:pos="1776"/>
                <w:tab w:val="left" w:pos="2516"/>
                <w:tab w:val="left" w:pos="2664"/>
                <w:tab w:val="left" w:pos="3552"/>
                <w:tab w:val="left" w:pos="3996"/>
                <w:tab w:val="left" w:pos="4884"/>
                <w:tab w:val="left" w:pos="5772"/>
                <w:tab w:val="left" w:pos="7104"/>
                <w:tab w:val="left" w:pos="7696"/>
                <w:tab w:val="left" w:pos="7992"/>
                <w:tab w:val="left" w:pos="8436"/>
              </w:tabs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国务院办公厅关于推广随机抽查规范事中事后监管的通知》（国办发〔2015〕58号）、《国家税务总局关于印发推进税务稽查随机抽查实施方案的通知》（税总发〔2015〕104号）、《国家税务总局关于印发税务稽查案源管理办法（试行）的通知》（税总发〔2016〕71号）、《国家税务总局关于印发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税务稽查随机抽查对象名录库管理办法（试行）的通知》（税总发〔2016〕73号）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国家税务总局内蒙古自治区税务局稽查局</w:t>
            </w:r>
          </w:p>
          <w:p>
            <w:pPr>
              <w:tabs>
                <w:tab w:val="left" w:pos="740"/>
                <w:tab w:val="left" w:pos="888"/>
                <w:tab w:val="left" w:pos="1184"/>
                <w:tab w:val="left" w:pos="1776"/>
                <w:tab w:val="left" w:pos="2516"/>
                <w:tab w:val="left" w:pos="2664"/>
                <w:tab w:val="left" w:pos="3552"/>
                <w:tab w:val="left" w:pos="3996"/>
                <w:tab w:val="left" w:pos="4884"/>
                <w:tab w:val="left" w:pos="5772"/>
                <w:tab w:val="left" w:pos="7104"/>
                <w:tab w:val="left" w:pos="7696"/>
                <w:tab w:val="left" w:pos="7992"/>
                <w:tab w:val="left" w:pos="8436"/>
              </w:tabs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关于做好2022年区局双随机重点稽查对象检查工作的通知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内税稽便函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〔20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调账检查、实地检查相结合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各类涉税事项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共计查补税款106.02万元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427B5"/>
    <w:rsid w:val="110427B5"/>
    <w:rsid w:val="1FD81A07"/>
    <w:rsid w:val="24321D7C"/>
    <w:rsid w:val="2716486C"/>
    <w:rsid w:val="47912119"/>
    <w:rsid w:val="61E93BCB"/>
    <w:rsid w:val="7EC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2023-03-13T07:20:00Z</dcterms:created>
  <dc:creator>张雅琴</dc:creator>
  <cp:lastModifiedBy>张雅琴</cp:lastModifiedBy>
  <dcterms:modified xsi:type="dcterms:W3CDTF">2023-03-13T07:49:16Z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