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left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2</w:t>
      </w:r>
    </w:p>
    <w:p>
      <w:pPr>
        <w:pStyle w:val="5"/>
        <w:ind w:firstLine="0" w:firstLineChars="0"/>
        <w:jc w:val="left"/>
        <w:rPr>
          <w:rFonts w:hint="eastAsia" w:ascii="黑体" w:hAnsi="黑体" w:eastAsia="黑体" w:cs="黑体"/>
          <w:spacing w:val="-11"/>
          <w:sz w:val="32"/>
          <w:szCs w:val="32"/>
        </w:rPr>
      </w:pPr>
    </w:p>
    <w:p>
      <w:pPr>
        <w:pStyle w:val="5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spacing w:val="-11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Cs w:val="44"/>
        </w:rPr>
        <w:t>包头市市场监管领域2024年度部门联合“双随机、一公开”抽查计划</w:t>
      </w:r>
    </w:p>
    <w:bookmarkEnd w:id="0"/>
    <w:tbl>
      <w:tblPr>
        <w:tblStyle w:val="3"/>
        <w:tblW w:w="13965" w:type="dxa"/>
        <w:tblInd w:w="-4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050"/>
        <w:gridCol w:w="675"/>
        <w:gridCol w:w="1035"/>
        <w:gridCol w:w="735"/>
        <w:gridCol w:w="960"/>
        <w:gridCol w:w="840"/>
        <w:gridCol w:w="750"/>
        <w:gridCol w:w="1005"/>
        <w:gridCol w:w="1605"/>
        <w:gridCol w:w="2370"/>
        <w:gridCol w:w="1515"/>
        <w:gridCol w:w="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Header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联合抽查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任务名称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抽查类型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检查对象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发起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参与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检查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方式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实施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层级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抽查比例或数量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起止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抽查事项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检查重点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Header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重点税收对象监督检查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不定向抽查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重点稽查对象库内的企业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包头市税务局稽查局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包头市市场监督管理局、包头市公安局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现场检查、网络检查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包头市税务局、跨区域稽查局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2024年2月-12月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税收违法行为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偷、逃、抗、骗税款等税收违法行为进行检查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customStyle="1" w:styleId="5">
    <w:name w:val="Body Text First Indent1"/>
    <w:basedOn w:val="2"/>
    <w:qFormat/>
    <w:uiPriority w:val="99"/>
    <w:pPr>
      <w:spacing w:after="0"/>
      <w:ind w:firstLine="420" w:firstLineChars="100"/>
    </w:pPr>
    <w:rPr>
      <w:rFonts w:cs="Calibr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2024-03-15T06:57:49Z</dcterms:created>
  <dc:creator>7</dc:creator>
  <cp:lastModifiedBy>7</cp:lastModifiedBy>
  <dcterms:modified xsi:type="dcterms:W3CDTF">2024-03-15T06:58:07Z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