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161" w:tblpY="265"/>
        <w:tblOverlap w:val="never"/>
        <w:tblW w:w="15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515"/>
        <w:gridCol w:w="1755"/>
        <w:gridCol w:w="2240"/>
        <w:gridCol w:w="1410"/>
        <w:gridCol w:w="1345"/>
        <w:gridCol w:w="1230"/>
        <w:gridCol w:w="1380"/>
        <w:gridCol w:w="2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52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国家税务总局阿拉善盟税务局本部门2024年“双随机、一公开”抽查计划表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责任单位（科室）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实施层级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重点行业随机抽查--建筑安装行业、采矿业（金属矿和非金属矿采选、烟煤和无烟煤开采洗选）、制造业、批发零售业等重点行业涉税违法情况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国家税务总局阿拉善盟税务局重点税源企业名录库企业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国家税务总局阿拉善盟税务局稽查局、国家税务总局阿拉善盟税务局第一稽查局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实地核查</w:t>
            </w:r>
          </w:p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自治区、盟级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2024年3月-12月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建筑行业营改增后税收政策执行情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况、涉及的各税种纳税申报及税款缴纳情况。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27BE0"/>
    <w:rsid w:val="7DB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widowControl w:val="0"/>
      <w:spacing w:line="660" w:lineRule="exact"/>
      <w:ind w:firstLine="720" w:firstLineChars="200"/>
      <w:jc w:val="both"/>
      <w:textAlignment w:val="baseline"/>
    </w:pPr>
    <w:rPr>
      <w:rFonts w:ascii="Times New Roman" w:hAnsi="Times New Roman" w:eastAsia="楷体_GB2312" w:cs="Times New Roman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2024-02-18T09:03:00Z</dcterms:created>
  <dc:creator>amsw</dc:creator>
  <cp:lastModifiedBy>王宁</cp:lastModifiedBy>
  <dcterms:modified xsi:type="dcterms:W3CDTF">2024-11-15T00:58:28Z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