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60" w:lineRule="exact"/>
        <w:jc w:val="left"/>
        <w:rPr>
          <w:rStyle w:val="5"/>
          <w:rFonts w:hint="eastAsia" w:ascii="方正小标宋简体" w:eastAsia="方正小标宋简体"/>
          <w:b w:val="0"/>
          <w:sz w:val="44"/>
          <w:szCs w:val="44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sz w:val="32"/>
          <w:szCs w:val="32"/>
          <w:lang w:val="en-US" w:eastAsia="zh-CN"/>
        </w:rPr>
        <w:t xml:space="preserve">2 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60" w:lineRule="exact"/>
        <w:jc w:val="left"/>
        <w:rPr>
          <w:rStyle w:val="5"/>
          <w:rFonts w:hint="eastAsia" w:ascii="方正小标宋简体" w:eastAsia="方正小标宋简体"/>
          <w:b w:val="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sz w:val="44"/>
          <w:szCs w:val="44"/>
          <w:lang w:val="en-US" w:eastAsia="zh-CN"/>
        </w:rPr>
        <w:t xml:space="preserve">      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</w:rPr>
        <w:t>国家税务总局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  <w:lang w:eastAsia="zh-CN"/>
        </w:rPr>
        <w:t>阿拉善盟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</w:rPr>
        <w:t>税务局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6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</w:pPr>
      <w:r>
        <w:rPr>
          <w:rStyle w:val="5"/>
          <w:rFonts w:hint="eastAsia" w:ascii="方正小标宋简体" w:eastAsia="方正小标宋简体"/>
          <w:b w:val="0"/>
          <w:sz w:val="44"/>
          <w:szCs w:val="44"/>
        </w:rPr>
        <w:t>202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</w:rPr>
        <w:t>年双随机</w:t>
      </w:r>
      <w:r>
        <w:rPr>
          <w:rStyle w:val="5"/>
          <w:rFonts w:hint="eastAsia" w:ascii="方正小标宋简体" w:eastAsia="方正小标宋简体"/>
          <w:b w:val="0"/>
          <w:sz w:val="44"/>
          <w:szCs w:val="44"/>
          <w:lang w:eastAsia="zh-CN"/>
        </w:rPr>
        <w:t>抽查工作计划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阿拉善盟</w:t>
      </w:r>
      <w:r>
        <w:rPr>
          <w:rFonts w:hint="eastAsia" w:ascii="仿宋_GB2312" w:eastAsia="仿宋_GB2312"/>
          <w:sz w:val="32"/>
          <w:szCs w:val="32"/>
        </w:rPr>
        <w:t>税务局稽查局</w:t>
      </w:r>
      <w:r>
        <w:rPr>
          <w:rFonts w:hint="eastAsia" w:ascii="仿宋_GB2312" w:eastAsia="仿宋_GB2312"/>
          <w:sz w:val="32"/>
          <w:szCs w:val="32"/>
          <w:lang w:eastAsia="zh-CN"/>
        </w:rPr>
        <w:t>、第一稽查局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Arial" w:eastAsia="仿宋_GB2312" w:cs="Arial"/>
          <w:b w:val="0"/>
          <w:bCs w:val="0"/>
          <w:color w:val="000000"/>
          <w:sz w:val="32"/>
          <w:szCs w:val="32"/>
          <w:lang w:eastAsia="zh-CN"/>
        </w:rPr>
        <w:t>贯彻执行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稽查一体化要求，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案源分配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深入推进“双随机、一公开”监管工作机制，进一步发挥税务稽查职能作用，坚持风险管理导向，实现精确执法，现将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双随机</w:t>
      </w:r>
      <w:r>
        <w:rPr>
          <w:rFonts w:hint="eastAsia" w:ascii="仿宋_GB2312" w:eastAsia="仿宋_GB2312"/>
          <w:sz w:val="32"/>
          <w:szCs w:val="32"/>
          <w:lang w:eastAsia="zh-CN"/>
        </w:rPr>
        <w:t>抽查</w:t>
      </w:r>
      <w:r>
        <w:rPr>
          <w:rFonts w:hint="eastAsia"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sz w:val="32"/>
          <w:szCs w:val="32"/>
        </w:rPr>
        <w:t>事宜通知如下：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一、抽取及公开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（一）抽取原则。</w:t>
      </w:r>
      <w:r>
        <w:rPr>
          <w:rFonts w:hint="eastAsia" w:ascii="仿宋_GB2312" w:eastAsia="仿宋_GB2312"/>
          <w:sz w:val="32"/>
          <w:szCs w:val="32"/>
        </w:rPr>
        <w:t>按照《关于进一步深化税收征管改革的意见》，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坚持以风险管理为导向、</w:t>
      </w:r>
      <w:r>
        <w:rPr>
          <w:rFonts w:hint="eastAsia"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级重点稽查对象名录库，对逃避税问题多发的行业，根据税收风险</w:t>
      </w:r>
      <w:r>
        <w:rPr>
          <w:rFonts w:hint="eastAsia" w:ascii="仿宋_GB2312" w:eastAsia="仿宋_GB2312"/>
          <w:sz w:val="32"/>
          <w:szCs w:val="32"/>
          <w:lang w:eastAsia="zh-CN"/>
        </w:rPr>
        <w:t>从矿产资源开采、制造业、建筑安装、商业零售</w:t>
      </w:r>
      <w:r>
        <w:rPr>
          <w:rFonts w:hint="eastAsia" w:ascii="仿宋_GB2312" w:eastAsia="仿宋_GB2312"/>
          <w:sz w:val="32"/>
          <w:szCs w:val="32"/>
        </w:rPr>
        <w:t>等行业</w:t>
      </w:r>
      <w:r>
        <w:rPr>
          <w:rFonts w:hint="eastAsia" w:ascii="仿宋_GB2312" w:eastAsia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通过双随机平台</w:t>
      </w:r>
      <w:r>
        <w:rPr>
          <w:rFonts w:hint="eastAsia" w:ascii="仿宋_GB2312" w:eastAsia="仿宋_GB2312"/>
          <w:sz w:val="32"/>
          <w:szCs w:val="32"/>
          <w:lang w:eastAsia="zh-CN"/>
        </w:rPr>
        <w:t>根据工作安排和进度情况分批次</w:t>
      </w:r>
      <w:r>
        <w:rPr>
          <w:rFonts w:hint="eastAsia" w:ascii="仿宋_GB2312" w:eastAsia="仿宋_GB2312"/>
          <w:sz w:val="32"/>
          <w:szCs w:val="32"/>
        </w:rPr>
        <w:t>进行定向随机抽取</w:t>
      </w:r>
      <w:r>
        <w:rPr>
          <w:rFonts w:hint="eastAsia" w:ascii="仿宋_GB2312" w:eastAsia="仿宋_GB2312"/>
          <w:sz w:val="32"/>
          <w:szCs w:val="32"/>
          <w:lang w:eastAsia="zh-CN"/>
        </w:rPr>
        <w:t>本盟市重点纳税人为重点稽查对象。</w:t>
      </w:r>
      <w:bookmarkStart w:id="0" w:name="_GoBack"/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加强与外部门（如市监督局、商务局、公安机关等）联合，本年度至少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联合双随机抽取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检查。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（二）及时公开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稽查</w:t>
      </w:r>
      <w:r>
        <w:rPr>
          <w:rFonts w:hint="eastAsia" w:ascii="仿宋_GB2312" w:eastAsia="仿宋_GB2312"/>
          <w:sz w:val="32"/>
          <w:szCs w:val="32"/>
        </w:rPr>
        <w:t>局负责对随机抽取事项情况进行公开，检查结束后，稽查局对检查结果进行公开。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（三）检查所属期。</w:t>
      </w:r>
      <w:r>
        <w:rPr>
          <w:rFonts w:hint="eastAsia" w:ascii="仿宋_GB2312" w:eastAsia="仿宋_GB2312"/>
          <w:sz w:val="32"/>
          <w:szCs w:val="32"/>
        </w:rPr>
        <w:t>检查年度</w:t>
      </w:r>
      <w:r>
        <w:rPr>
          <w:rFonts w:hint="eastAsia" w:ascii="仿宋_GB2312" w:eastAsia="仿宋_GB2312"/>
          <w:sz w:val="32"/>
          <w:szCs w:val="32"/>
          <w:lang w:eastAsia="zh-CN"/>
        </w:rPr>
        <w:t>原则上</w:t>
      </w:r>
      <w:r>
        <w:rPr>
          <w:rFonts w:hint="eastAsia" w:ascii="仿宋_GB2312" w:eastAsia="仿宋_GB2312"/>
          <w:sz w:val="32"/>
          <w:szCs w:val="32"/>
        </w:rPr>
        <w:t>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年度，检查中发现重大</w:t>
      </w:r>
      <w:r>
        <w:rPr>
          <w:rFonts w:hint="eastAsia" w:ascii="仿宋_GB2312" w:hAnsi="宋体" w:eastAsia="仿宋_GB2312" w:cs="宋体"/>
          <w:sz w:val="32"/>
          <w:szCs w:val="32"/>
        </w:rPr>
        <w:t>税</w:t>
      </w:r>
      <w:r>
        <w:rPr>
          <w:rFonts w:hint="eastAsia" w:ascii="仿宋_GB2312" w:eastAsia="仿宋_GB2312"/>
          <w:sz w:val="32"/>
          <w:szCs w:val="32"/>
        </w:rPr>
        <w:t>收违法线索，可追溯至以前年度。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检查方式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抽取后的检查对象，由稽查局推送至</w:t>
      </w:r>
      <w:r>
        <w:rPr>
          <w:rFonts w:hint="eastAsia" w:ascii="仿宋_GB2312" w:eastAsia="仿宋_GB2312"/>
          <w:sz w:val="32"/>
          <w:szCs w:val="32"/>
          <w:lang w:eastAsia="zh-CN"/>
        </w:rPr>
        <w:t>本级和</w:t>
      </w:r>
      <w:r>
        <w:rPr>
          <w:rFonts w:hint="eastAsia" w:ascii="仿宋_GB2312" w:eastAsia="仿宋_GB2312"/>
          <w:sz w:val="32"/>
          <w:szCs w:val="32"/>
        </w:rPr>
        <w:t>第一稽查局实施辅导式自查和重点检查，具体工作主要由接收任务的稽查局自行组织开展</w:t>
      </w:r>
      <w:r>
        <w:rPr>
          <w:rFonts w:hint="eastAsia" w:ascii="仿宋_GB2312" w:eastAsia="仿宋_GB2312"/>
          <w:sz w:val="32"/>
          <w:szCs w:val="32"/>
          <w:lang w:eastAsia="zh-CN"/>
        </w:rPr>
        <w:t>，并按要求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向稽查局报告有关开展情况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（一）</w:t>
      </w:r>
      <w:r>
        <w:rPr>
          <w:rFonts w:hint="eastAsia" w:ascii="楷体_GB2312" w:eastAsia="楷体_GB2312"/>
          <w:sz w:val="32"/>
          <w:szCs w:val="32"/>
        </w:rPr>
        <w:t>企业自查阶段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抽取后的检查对象</w:t>
      </w:r>
      <w:r>
        <w:rPr>
          <w:rFonts w:hint="eastAsia" w:ascii="仿宋_GB2312" w:eastAsia="仿宋_GB2312"/>
          <w:sz w:val="32"/>
          <w:szCs w:val="32"/>
          <w:lang w:eastAsia="zh-CN"/>
        </w:rPr>
        <w:t>原则上安排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15-30天的</w:t>
      </w:r>
      <w:r>
        <w:rPr>
          <w:rFonts w:hint="eastAsia" w:ascii="仿宋_GB2312" w:eastAsia="仿宋_GB2312"/>
          <w:sz w:val="32"/>
          <w:szCs w:val="32"/>
        </w:rPr>
        <w:t>自查时间（</w:t>
      </w:r>
      <w:r>
        <w:rPr>
          <w:rFonts w:hint="eastAsia" w:ascii="仿宋_GB2312" w:eastAsia="仿宋_GB2312"/>
          <w:sz w:val="32"/>
          <w:szCs w:val="32"/>
          <w:lang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确定为高风险企业的，可不进行自查直接开展重点检查），</w:t>
      </w:r>
      <w:r>
        <w:rPr>
          <w:rFonts w:hint="eastAsia" w:ascii="仿宋_GB2312" w:eastAsia="仿宋_GB2312"/>
          <w:sz w:val="32"/>
          <w:szCs w:val="32"/>
          <w:lang w:eastAsia="zh-CN"/>
        </w:rPr>
        <w:t>如有遇有疫情防控等特殊原因企业不能按期完成自查工作的，由企业提出申请，各单位结合实际情况可以延长自查时间，</w:t>
      </w:r>
      <w:r>
        <w:rPr>
          <w:rFonts w:hint="eastAsia" w:ascii="仿宋_GB2312" w:eastAsia="仿宋_GB2312"/>
          <w:sz w:val="32"/>
          <w:szCs w:val="32"/>
        </w:rPr>
        <w:t>要加强自查自纠工作推进，确保自查阶段工作效果。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三、重点检查阶段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根据不同行业特点并结合本地区实际情况，有计划有步骤的组织实施检查任务，随机抽取检查人员确有困难的，可通过竞标方式选派检查人员。根据自查情况，稽查局</w:t>
      </w:r>
      <w:r>
        <w:rPr>
          <w:rFonts w:hint="eastAsia" w:ascii="仿宋_GB2312" w:eastAsia="仿宋_GB2312"/>
          <w:sz w:val="32"/>
          <w:szCs w:val="32"/>
          <w:lang w:eastAsia="zh-CN"/>
        </w:rPr>
        <w:t>、第一稽查局要根据企业自查情况全年</w:t>
      </w:r>
      <w:r>
        <w:rPr>
          <w:rFonts w:hint="eastAsia" w:ascii="仿宋_GB2312" w:eastAsia="仿宋_GB2312"/>
          <w:sz w:val="32"/>
          <w:szCs w:val="32"/>
        </w:rPr>
        <w:t>选取不低于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企业进行重点检查，重点检查时间</w:t>
      </w:r>
      <w:r>
        <w:rPr>
          <w:rFonts w:hint="eastAsia" w:ascii="仿宋_GB2312" w:eastAsia="仿宋_GB2312"/>
          <w:sz w:val="32"/>
          <w:szCs w:val="32"/>
          <w:lang w:eastAsia="zh-CN"/>
        </w:rPr>
        <w:t>原则为立案后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60日内完成</w:t>
      </w:r>
      <w:r>
        <w:rPr>
          <w:rFonts w:hint="eastAsia" w:ascii="仿宋_GB2312" w:eastAsia="仿宋_GB2312"/>
          <w:sz w:val="32"/>
          <w:szCs w:val="32"/>
        </w:rPr>
        <w:t xml:space="preserve">。 </w:t>
      </w:r>
      <w:r>
        <w:rPr>
          <w:rFonts w:hint="eastAsia" w:ascii="仿宋_GB2312" w:eastAsia="仿宋_GB2312"/>
          <w:sz w:val="32"/>
          <w:szCs w:val="32"/>
          <w:lang w:eastAsia="zh-CN"/>
        </w:rPr>
        <w:t>重点检查</w:t>
      </w:r>
      <w:r>
        <w:rPr>
          <w:rFonts w:hint="eastAsia" w:ascii="仿宋_GB2312" w:eastAsia="仿宋_GB2312"/>
          <w:sz w:val="32"/>
          <w:szCs w:val="32"/>
        </w:rPr>
        <w:t>要相互协调，紧密配合，形成工作合力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要利用大数据进行涉税风险分析，确保自查有针对性，检查有风险点。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、检查情况及</w:t>
      </w:r>
      <w:r>
        <w:rPr>
          <w:rFonts w:hint="eastAsia" w:ascii="黑体" w:hAnsi="黑体" w:eastAsia="黑体"/>
          <w:sz w:val="32"/>
          <w:szCs w:val="32"/>
          <w:lang w:eastAsia="zh-CN"/>
        </w:rPr>
        <w:t>结果利用</w:t>
      </w: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各检查单位要在检查结束后反馈检查情况，</w:t>
      </w:r>
      <w:r>
        <w:rPr>
          <w:rFonts w:hint="eastAsia" w:ascii="仿宋_GB2312" w:eastAsia="仿宋_GB2312"/>
          <w:sz w:val="32"/>
          <w:szCs w:val="32"/>
        </w:rPr>
        <w:t>重点列示检查新发现的主要涉税问题、检查重点建议等，</w:t>
      </w:r>
      <w:r>
        <w:rPr>
          <w:rFonts w:hint="eastAsia" w:ascii="仿宋_GB2312" w:eastAsia="仿宋_GB2312"/>
          <w:sz w:val="32"/>
          <w:szCs w:val="32"/>
          <w:lang w:eastAsia="zh-CN"/>
        </w:rPr>
        <w:t>加强案件的行业、类别、地区、个案等分析工作。检查结果反馈至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案源管理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股。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60" w:lineRule="exact"/>
        <w:ind w:right="640" w:firstLine="4480" w:firstLineChars="1400"/>
        <w:rPr>
          <w:rFonts w:hint="eastAsia" w:eastAsia="黑体"/>
          <w:color w:val="000000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附：国家税务总局阿拉善盟税务局2022年度重点稽查对象随机抽查计划表（本部门、部门联合）</w:t>
      </w:r>
    </w:p>
    <w:p>
      <w:pPr>
        <w:rPr>
          <w:rFonts w:hint="eastAsia"/>
          <w:lang w:eastAsia="zh-CN"/>
        </w:rPr>
      </w:pPr>
    </w:p>
    <w:p>
      <w:pPr>
        <w:spacing w:line="560" w:lineRule="exact"/>
        <w:ind w:firstLine="3520" w:firstLineChars="11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阿拉善盟</w:t>
      </w:r>
      <w:r>
        <w:rPr>
          <w:rFonts w:hint="eastAsia" w:ascii="仿宋_GB2312" w:eastAsia="仿宋_GB2312"/>
          <w:sz w:val="32"/>
          <w:szCs w:val="32"/>
        </w:rPr>
        <w:t>税务局</w:t>
      </w:r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60" w:lineRule="exact"/>
        <w:ind w:right="640" w:firstLine="4480" w:firstLineChars="1400"/>
        <w:rPr>
          <w:rFonts w:hint="eastAsia" w:eastAsia="黑体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  <w:lang w:eastAsia="zh-CN"/>
        </w:rPr>
        <w:sectPr>
          <w:footerReference r:id="rId3" w:type="default"/>
          <w:footerReference r:id="rId4" w:type="even"/>
          <w:pgSz w:w="11906" w:h="16838"/>
          <w:pgMar w:top="1587" w:right="1474" w:bottom="1417" w:left="1587" w:header="567" w:footer="1418" w:gutter="0"/>
          <w:pgNumType w:fmt="numberInDash"/>
          <w:cols w:space="720" w:num="1"/>
          <w:docGrid w:linePitch="312" w:charSpace="0"/>
        </w:sectPr>
      </w:pPr>
    </w:p>
    <w:p>
      <w:pPr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1161" w:tblpY="265"/>
        <w:tblOverlap w:val="never"/>
        <w:tblW w:w="15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15"/>
        <w:gridCol w:w="1755"/>
        <w:gridCol w:w="2240"/>
        <w:gridCol w:w="1410"/>
        <w:gridCol w:w="1345"/>
        <w:gridCol w:w="1230"/>
        <w:gridCol w:w="138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国家税务总局阿拉善盟税务局本部门2022年双随机一公开抽查计划表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责任单位（科室）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建筑业（公路工程建筑、房地产开发经营、建筑物拆除活动、住宅房屋建筑、电气安装等行业）涉税违法情况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国家税务总局阿拉善盟税务局重点税源企业名录库企业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国家税务总局阿拉善盟税务局稽查局、国家税务总局阿拉善盟税务局第一稽查局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自治区、盟级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6户（自治区抽取1户）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2022年3月-11月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建筑行业营改增后税收政策执行情况、涉及的各税种纳税申报及税款缴纳情况。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采矿业（建筑用石加工、建筑装饰用石开采、粘土及其他土砂石开采、耐火土石开采、铁矿采选、铅锌矿采选、烟煤和无烟煤开采洗选等行业）涉税违法情况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国家税务总局阿拉善盟税务局重点税源企业名录库企业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国家税务总局阿拉善盟税务局稽查局、国家税务总局阿拉善盟税务局第一稽查局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2022年3月-11月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采矿业税收政策执行情况、涉及的各税种纳税申报及税款缴纳情况。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制造业（无机碱制造、其他日用化学产品制造、水泥制品制造、炼焦、铁合金冶炼等行业）涉税违法情况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国家税务总局阿拉善盟税务局重点税源企业名录库企业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国家税务总局阿拉善盟税务局稽查局、国家税务总局阿拉善盟税务局第一稽查局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2022年3月-11月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制造业税收政策执行情况、涉及的各税种纳税申报及税款缴纳情况。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批发零售业（药品零售、超级市场、煤炭及制品批发等行业）涉税违法情况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国家税务总局阿拉善盟税务局重点税源企业名录库企业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国家税务总局阿拉善盟税务局稽查局、国家税务总局阿拉善盟税务局第一稽查局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实地检查、书面检查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2022年3月-11月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批发业税收政策执行情况、涉及的各税种纳税申报及税款缴纳情况。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1186" w:tblpY="131"/>
        <w:tblOverlap w:val="never"/>
        <w:tblW w:w="15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6"/>
        <w:gridCol w:w="1205"/>
        <w:gridCol w:w="1067"/>
        <w:gridCol w:w="1114"/>
        <w:gridCol w:w="1022"/>
        <w:gridCol w:w="861"/>
        <w:gridCol w:w="976"/>
        <w:gridCol w:w="1068"/>
        <w:gridCol w:w="1022"/>
        <w:gridCol w:w="2129"/>
        <w:gridCol w:w="204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15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国家税务总局阿拉善盟税务局2022年度部门联合“双随机、一公开”抽查计划表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联合抽查事项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发起部门抽查事项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参与部门抽查事项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涉税违法检查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阿拉善盟税务局重点稽查对象名录库涉税违法企业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税务部门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盟级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2022年3月至12月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涉税违法事项。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登记事项检查、公示信息检查；涉税违法犯罪。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检查所属期内随机抽查企业的纳税申报缴纳情况。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701" w:right="1701" w:bottom="1701" w:left="1417" w:header="567" w:footer="141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18" w:h="357" w:hRule="exact" w:wrap="around" w:vAnchor="text" w:hAnchor="page" w:x="9782" w:yAlign="top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- 1 -</w:t>
    </w:r>
    <w:r>
      <w:rPr>
        <w:rStyle w:val="6"/>
        <w:rFonts w:hint="eastAsia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18" w:h="357" w:hRule="exact" w:wrap="around" w:vAnchor="text" w:hAnchor="page" w:x="1726" w:y="28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- 2 -</w:t>
    </w:r>
    <w:r>
      <w:rPr>
        <w:rStyle w:val="6"/>
        <w:rFonts w:hint="eastAsia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45F3"/>
    <w:rsid w:val="058512E8"/>
    <w:rsid w:val="0BA8195F"/>
    <w:rsid w:val="2B5551B4"/>
    <w:rsid w:val="31172E1E"/>
    <w:rsid w:val="4DD03A35"/>
    <w:rsid w:val="4FC37E63"/>
    <w:rsid w:val="53BE197C"/>
    <w:rsid w:val="565B4517"/>
    <w:rsid w:val="610B59FC"/>
    <w:rsid w:val="65740B42"/>
    <w:rsid w:val="666451E0"/>
    <w:rsid w:val="6C9C63E7"/>
    <w:rsid w:val="6E54189C"/>
    <w:rsid w:val="7FA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2022-03-29T08:35:00Z</dcterms:created>
  <dc:creator>CYL</dc:creator>
  <cp:lastModifiedBy>陈颜龙</cp:lastModifiedBy>
  <cp:lastPrinted>2022-09-06T01:08:57Z</cp:lastPrinted>
  <dcterms:modified xsi:type="dcterms:W3CDTF">2022-09-06T01:10:36Z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