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topLinePunct/>
        <w:autoSpaceDE w:val="0"/>
        <w:autoSpaceDN w:val="0"/>
        <w:spacing w:before="0" w:after="0" w:line="360" w:lineRule="auto"/>
        <w:jc w:val="center"/>
        <w:rPr>
          <w:rFonts w:hint="eastAsia" w:ascii="宋体" w:hAnsi="宋体" w:eastAsia="宋体" w:cs="宋体"/>
          <w:b/>
          <w:sz w:val="96"/>
          <w:szCs w:val="96"/>
          <w:lang w:eastAsia="zh-CN"/>
        </w:rPr>
      </w:pPr>
    </w:p>
    <w:p>
      <w:pPr>
        <w:widowControl w:val="0"/>
        <w:topLinePunct/>
        <w:autoSpaceDE w:val="0"/>
        <w:autoSpaceDN w:val="0"/>
        <w:spacing w:before="0" w:after="0" w:line="360" w:lineRule="auto"/>
        <w:jc w:val="center"/>
        <w:rPr>
          <w:rFonts w:hint="eastAsia" w:ascii="宋体" w:hAnsi="宋体" w:eastAsia="宋体" w:cs="宋体"/>
          <w:b/>
          <w:sz w:val="96"/>
          <w:szCs w:val="96"/>
          <w:lang w:eastAsia="zh-CN"/>
        </w:rPr>
      </w:pPr>
      <w:r>
        <w:rPr>
          <w:rFonts w:hint="eastAsia" w:ascii="宋体" w:hAnsi="宋体" w:eastAsia="宋体" w:cs="宋体"/>
          <w:b/>
          <w:sz w:val="96"/>
          <w:szCs w:val="96"/>
          <w:lang w:eastAsia="zh-CN"/>
        </w:rPr>
        <w:t>采 购 需 求</w:t>
      </w:r>
    </w:p>
    <w:p>
      <w:pPr>
        <w:widowControl w:val="0"/>
        <w:topLinePunct/>
        <w:autoSpaceDE w:val="0"/>
        <w:autoSpaceDN w:val="0"/>
        <w:spacing w:before="0" w:after="0" w:line="360" w:lineRule="auto"/>
        <w:jc w:val="center"/>
        <w:rPr>
          <w:rFonts w:hint="eastAsia" w:ascii="宋体" w:hAnsi="宋体" w:eastAsia="宋体" w:cs="宋体"/>
          <w:b/>
          <w:sz w:val="80"/>
          <w:szCs w:val="80"/>
          <w:lang w:eastAsia="zh-CN"/>
        </w:rPr>
      </w:pPr>
    </w:p>
    <w:p>
      <w:pPr>
        <w:widowControl w:val="0"/>
        <w:topLinePunct/>
        <w:autoSpaceDE w:val="0"/>
        <w:autoSpaceDN w:val="0"/>
        <w:spacing w:before="0" w:after="0" w:line="360" w:lineRule="auto"/>
        <w:jc w:val="center"/>
        <w:rPr>
          <w:rFonts w:hint="eastAsia" w:ascii="宋体" w:hAnsi="宋体" w:eastAsia="宋体" w:cs="宋体"/>
          <w:b/>
          <w:sz w:val="80"/>
          <w:szCs w:val="80"/>
          <w:lang w:eastAsia="zh-CN"/>
        </w:rPr>
      </w:pPr>
    </w:p>
    <w:p>
      <w:pPr>
        <w:widowControl w:val="0"/>
        <w:topLinePunct/>
        <w:autoSpaceDE w:val="0"/>
        <w:autoSpaceDN w:val="0"/>
        <w:spacing w:before="0" w:after="0" w:line="360" w:lineRule="auto"/>
        <w:jc w:val="center"/>
        <w:rPr>
          <w:rFonts w:hint="eastAsia" w:ascii="宋体" w:hAnsi="宋体" w:eastAsia="宋体" w:cs="宋体"/>
          <w:b/>
          <w:sz w:val="30"/>
          <w:szCs w:val="30"/>
          <w:lang w:eastAsia="zh-CN"/>
        </w:rPr>
      </w:pPr>
      <w:r>
        <w:rPr>
          <w:rFonts w:hint="eastAsia" w:ascii="宋体" w:hAnsi="宋体" w:eastAsia="宋体" w:cs="宋体"/>
          <w:b/>
          <w:sz w:val="30"/>
          <w:szCs w:val="30"/>
          <w:lang w:eastAsia="zh-CN"/>
        </w:rPr>
        <w:t>项目名称：</w:t>
      </w:r>
      <w:bookmarkStart w:id="0" w:name="项目名称_projectName"/>
      <w:r>
        <w:rPr>
          <w:rFonts w:hint="eastAsia" w:ascii="宋体" w:hAnsi="宋体" w:eastAsia="宋体" w:cs="宋体"/>
          <w:b/>
          <w:sz w:val="30"/>
          <w:szCs w:val="30"/>
          <w:lang w:eastAsia="zh-CN"/>
        </w:rPr>
        <w:t>内蒙古税务2025年全面数字化的电子发票改革相关信息化基础平台建设-云平台建设</w:t>
      </w:r>
      <w:bookmarkEnd w:id="0"/>
    </w:p>
    <w:p>
      <w:pPr>
        <w:widowControl w:val="0"/>
        <w:spacing w:before="0" w:after="0" w:line="360" w:lineRule="auto"/>
        <w:jc w:val="both"/>
        <w:rPr>
          <w:rFonts w:hint="eastAsia" w:ascii="宋体" w:hAnsi="宋体" w:eastAsia="宋体" w:cs="宋体"/>
          <w:kern w:val="2"/>
          <w:sz w:val="32"/>
          <w:szCs w:val="32"/>
          <w:lang w:eastAsia="zh-CN"/>
        </w:rPr>
      </w:pPr>
      <w:bookmarkStart w:id="89" w:name="_GoBack"/>
      <w:bookmarkEnd w:id="89"/>
    </w:p>
    <w:p>
      <w:pPr>
        <w:widowControl w:val="0"/>
        <w:spacing w:before="0" w:after="0" w:line="360" w:lineRule="auto"/>
        <w:jc w:val="both"/>
        <w:rPr>
          <w:rFonts w:ascii="宋体" w:hAnsi="宋体" w:eastAsia="宋体" w:cs="宋体"/>
          <w:kern w:val="2"/>
          <w:sz w:val="32"/>
          <w:szCs w:val="32"/>
          <w:lang w:eastAsia="zh-CN"/>
        </w:rPr>
      </w:pPr>
    </w:p>
    <w:p>
      <w:pPr>
        <w:widowControl w:val="0"/>
        <w:spacing w:before="0" w:after="0" w:line="360" w:lineRule="auto"/>
        <w:jc w:val="both"/>
        <w:rPr>
          <w:rFonts w:hint="eastAsia" w:ascii="宋体" w:hAnsi="宋体" w:eastAsia="宋体" w:cs="宋体"/>
          <w:kern w:val="2"/>
          <w:sz w:val="32"/>
          <w:szCs w:val="32"/>
          <w:lang w:eastAsia="zh-CN"/>
        </w:rPr>
      </w:pPr>
    </w:p>
    <w:p>
      <w:pPr>
        <w:widowControl w:val="0"/>
        <w:topLinePunct/>
        <w:autoSpaceDE w:val="0"/>
        <w:autoSpaceDN w:val="0"/>
        <w:spacing w:before="0" w:after="0" w:line="360" w:lineRule="auto"/>
        <w:jc w:val="both"/>
        <w:rPr>
          <w:rFonts w:hint="eastAsia" w:ascii="宋体" w:hAnsi="宋体" w:eastAsia="宋体" w:cs="宋体"/>
          <w:sz w:val="32"/>
          <w:szCs w:val="32"/>
          <w:lang w:eastAsia="zh-CN"/>
        </w:rPr>
      </w:pPr>
    </w:p>
    <w:p>
      <w:pPr>
        <w:spacing w:before="0" w:after="0" w:line="360" w:lineRule="auto"/>
        <w:jc w:val="center"/>
        <w:rPr>
          <w:rFonts w:eastAsia="宋体"/>
        </w:rPr>
      </w:pPr>
      <w:bookmarkStart w:id="1" w:name="生成日期_currentDateTime_ym"/>
      <w:r>
        <w:rPr>
          <w:rFonts w:hint="eastAsia" w:ascii="宋体" w:hAnsi="宋体" w:eastAsia="宋体" w:cs="宋体"/>
          <w:sz w:val="36"/>
          <w:szCs w:val="36"/>
          <w:lang w:eastAsia="zh-CN"/>
        </w:rPr>
        <w:t>2026年07月</w:t>
      </w:r>
      <w:bookmarkEnd w:id="1"/>
    </w:p>
    <w:p>
      <w:pPr>
        <w:spacing w:before="0" w:after="0" w:line="360" w:lineRule="auto"/>
        <w:jc w:val="center"/>
        <w:rPr>
          <w:rFonts w:ascii="宋体" w:hAnsi="宋体" w:eastAsia="宋体" w:cs="宋体"/>
          <w:sz w:val="32"/>
        </w:rPr>
      </w:pPr>
      <w:r>
        <w:br w:type="page"/>
      </w:r>
      <w:r>
        <w:rPr>
          <w:rFonts w:ascii="宋体" w:hAnsi="宋体" w:eastAsia="宋体" w:cs="宋体"/>
          <w:sz w:val="32"/>
        </w:rPr>
        <w:t>目 录</w:t>
      </w:r>
    </w:p>
    <w:p>
      <w:pPr>
        <w:pStyle w:val="7"/>
        <w:tabs>
          <w:tab w:val="right" w:leader="dot" w:pos="9016"/>
        </w:tabs>
        <w:spacing w:before="0" w:after="0" w:line="360" w:lineRule="auto"/>
        <w:rPr>
          <w:rFonts w:asciiTheme="minorHAnsi" w:hAnsiTheme="minorHAnsi"/>
          <w:sz w:val="22"/>
        </w:rPr>
      </w:pPr>
      <w:r>
        <w:rPr>
          <w:rFonts w:ascii="宋体" w:hAnsi="宋体" w:eastAsia="宋体" w:cs="宋体"/>
          <w:sz w:val="32"/>
        </w:rPr>
        <w:fldChar w:fldCharType="begin"/>
      </w:r>
      <w:r>
        <w:rPr>
          <w:rFonts w:ascii="宋体" w:hAnsi="宋体" w:eastAsia="宋体" w:cs="宋体"/>
          <w:sz w:val="32"/>
        </w:rPr>
        <w:instrText xml:space="preserve">TOC \o "1-3" \h \z \u</w:instrText>
      </w:r>
      <w:r>
        <w:rPr>
          <w:rFonts w:ascii="宋体" w:hAnsi="宋体" w:eastAsia="宋体" w:cs="宋体"/>
          <w:sz w:val="32"/>
        </w:rPr>
        <w:fldChar w:fldCharType="separate"/>
      </w:r>
      <w:r>
        <w:fldChar w:fldCharType="begin"/>
      </w:r>
      <w:r>
        <w:instrText xml:space="preserve"> HYPERLINK \l "_Toc256000000" </w:instrText>
      </w:r>
      <w:r>
        <w:fldChar w:fldCharType="separate"/>
      </w:r>
      <w:r>
        <w:rPr>
          <w:rStyle w:val="11"/>
          <w:rFonts w:ascii="仿宋_GB2312" w:hAnsi="仿宋_GB2312" w:eastAsia="仿宋_GB2312" w:cs="仿宋_GB2312"/>
          <w:kern w:val="36"/>
        </w:rPr>
        <w:t>1项目概述</w:t>
      </w:r>
      <w:r>
        <w:tab/>
      </w:r>
      <w:r>
        <w:fldChar w:fldCharType="begin"/>
      </w:r>
      <w:r>
        <w:instrText xml:space="preserve"> PAGEREF _Toc256000000 \h </w:instrText>
      </w:r>
      <w:r>
        <w:fldChar w:fldCharType="separate"/>
      </w:r>
      <w:r>
        <w:t>5</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"_Toc256000001" </w:instrText>
      </w:r>
      <w:r>
        <w:fldChar w:fldCharType="separate"/>
      </w:r>
      <w:r>
        <w:rPr>
          <w:rStyle w:val="11"/>
          <w:rFonts w:ascii="仿宋_GB2312" w:hAnsi="仿宋_GB2312" w:eastAsia="仿宋_GB2312" w:cs="仿宋_GB2312"/>
        </w:rPr>
        <w:t>1.1项目背景</w:t>
      </w:r>
      <w:r>
        <w:tab/>
      </w:r>
      <w:r>
        <w:fldChar w:fldCharType="begin"/>
      </w:r>
      <w:r>
        <w:instrText xml:space="preserve"> PAGEREF _Toc256000001 \h </w:instrText>
      </w:r>
      <w:r>
        <w:fldChar w:fldCharType="separate"/>
      </w:r>
      <w:r>
        <w:t>5</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"_Toc256000002" </w:instrText>
      </w:r>
      <w:r>
        <w:fldChar w:fldCharType="separate"/>
      </w:r>
      <w:r>
        <w:rPr>
          <w:rStyle w:val="11"/>
          <w:rFonts w:ascii="仿宋_GB2312" w:hAnsi="仿宋_GB2312" w:eastAsia="仿宋_GB2312" w:cs="仿宋_GB2312"/>
        </w:rPr>
        <w:t>1.1.1项目目的、意义及背景</w:t>
      </w:r>
      <w:r>
        <w:tab/>
      </w:r>
      <w:r>
        <w:fldChar w:fldCharType="begin"/>
      </w:r>
      <w:r>
        <w:instrText xml:space="preserve"> PAGEREF _Toc256000002 \h </w:instrText>
      </w:r>
      <w:r>
        <w:fldChar w:fldCharType="separate"/>
      </w:r>
      <w:r>
        <w:t>5</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"_Toc256000003" </w:instrText>
      </w:r>
      <w:r>
        <w:fldChar w:fldCharType="separate"/>
      </w:r>
      <w:r>
        <w:rPr>
          <w:rStyle w:val="11"/>
          <w:rFonts w:ascii="仿宋_GB2312" w:hAnsi="仿宋_GB2312" w:eastAsia="仿宋_GB2312" w:cs="仿宋_GB2312"/>
        </w:rPr>
        <w:t>1.2项目内容</w:t>
      </w:r>
      <w:r>
        <w:tab/>
      </w:r>
      <w:r>
        <w:fldChar w:fldCharType="begin"/>
      </w:r>
      <w:r>
        <w:instrText xml:space="preserve"> PAGEREF _Toc256000003 \h </w:instrText>
      </w:r>
      <w:r>
        <w:fldChar w:fldCharType="separate"/>
      </w:r>
      <w:r>
        <w:t>5</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"_Toc256000004" </w:instrText>
      </w:r>
      <w:r>
        <w:fldChar w:fldCharType="separate"/>
      </w:r>
      <w:r>
        <w:rPr>
          <w:rStyle w:val="11"/>
          <w:rFonts w:ascii="仿宋_GB2312" w:hAnsi="仿宋_GB2312" w:eastAsia="仿宋_GB2312" w:cs="仿宋_GB2312"/>
        </w:rPr>
        <w:t>1.2.1项目建设思路</w:t>
      </w:r>
      <w:r>
        <w:tab/>
      </w:r>
      <w:r>
        <w:fldChar w:fldCharType="begin"/>
      </w:r>
      <w:r>
        <w:instrText xml:space="preserve"> PAGEREF _Toc256000004 \h </w:instrText>
      </w:r>
      <w:r>
        <w:fldChar w:fldCharType="separate"/>
      </w:r>
      <w:r>
        <w:t>5</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"_Toc256000005" </w:instrText>
      </w:r>
      <w:r>
        <w:fldChar w:fldCharType="separate"/>
      </w:r>
      <w:r>
        <w:rPr>
          <w:rStyle w:val="11"/>
          <w:rFonts w:ascii="仿宋_GB2312" w:hAnsi="仿宋_GB2312" w:eastAsia="仿宋_GB2312" w:cs="仿宋_GB2312"/>
        </w:rPr>
        <w:t>1.2.2采购内容</w:t>
      </w:r>
      <w:r>
        <w:tab/>
      </w:r>
      <w:r>
        <w:fldChar w:fldCharType="begin"/>
      </w:r>
      <w:r>
        <w:instrText xml:space="preserve"> PAGEREF _Toc256000005 \h </w:instrText>
      </w:r>
      <w:r>
        <w:fldChar w:fldCharType="separate"/>
      </w:r>
      <w:r>
        <w:t>6</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"_Toc256000006" </w:instrText>
      </w:r>
      <w:r>
        <w:fldChar w:fldCharType="separate"/>
      </w:r>
      <w:r>
        <w:rPr>
          <w:rStyle w:val="11"/>
          <w:rFonts w:ascii="仿宋_GB2312" w:hAnsi="仿宋_GB2312" w:eastAsia="仿宋_GB2312" w:cs="仿宋_GB2312"/>
        </w:rPr>
        <w:t>1.2.3项目实施要求</w:t>
      </w:r>
      <w:r>
        <w:tab/>
      </w:r>
      <w:r>
        <w:fldChar w:fldCharType="begin"/>
      </w:r>
      <w:r>
        <w:instrText xml:space="preserve"> PAGEREF _Toc256000006 \h </w:instrText>
      </w:r>
      <w:r>
        <w:fldChar w:fldCharType="separate"/>
      </w:r>
      <w:r>
        <w:t>7</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"_Toc256000007" </w:instrText>
      </w:r>
      <w:r>
        <w:fldChar w:fldCharType="separate"/>
      </w:r>
      <w:r>
        <w:rPr>
          <w:rStyle w:val="11"/>
          <w:rFonts w:ascii="仿宋_GB2312" w:hAnsi="仿宋_GB2312" w:eastAsia="仿宋_GB2312" w:cs="仿宋_GB2312"/>
        </w:rPr>
        <w:t>1.3其他要求</w:t>
      </w:r>
      <w:r>
        <w:tab/>
      </w:r>
      <w:r>
        <w:fldChar w:fldCharType="begin"/>
      </w:r>
      <w:r>
        <w:instrText xml:space="preserve"> PAGEREF _Toc256000007 \h </w:instrText>
      </w:r>
      <w:r>
        <w:fldChar w:fldCharType="separate"/>
      </w:r>
      <w:r>
        <w:t>7</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"_Toc256000008" </w:instrText>
      </w:r>
      <w:r>
        <w:fldChar w:fldCharType="separate"/>
      </w:r>
      <w:r>
        <w:rPr>
          <w:rStyle w:val="11"/>
          <w:rFonts w:ascii="仿宋_GB2312" w:hAnsi="仿宋_GB2312" w:eastAsia="仿宋_GB2312" w:cs="仿宋_GB2312"/>
        </w:rPr>
        <w:t>1.3.1采购标的需执行的相关标准规范</w:t>
      </w:r>
      <w:r>
        <w:tab/>
      </w:r>
      <w:r>
        <w:fldChar w:fldCharType="begin"/>
      </w:r>
      <w:r>
        <w:instrText xml:space="preserve"> PAGEREF _Toc256000008 \h </w:instrText>
      </w:r>
      <w:r>
        <w:fldChar w:fldCharType="separate"/>
      </w:r>
      <w:r>
        <w:t>7</w:t>
      </w:r>
      <w:r>
        <w:fldChar w:fldCharType="end"/>
      </w:r>
      <w:r>
        <w:fldChar w:fldCharType="end"/>
      </w:r>
    </w:p>
    <w:p>
      <w:pPr>
        <w:pStyle w:val="7"/>
        <w:tabs>
          <w:tab w:val="right" w:leader="dot" w:pos="9016"/>
        </w:tabs>
        <w:spacing w:before="0" w:after="0" w:line="360" w:lineRule="auto"/>
        <w:rPr>
          <w:rFonts w:asciiTheme="minorHAnsi" w:hAnsiTheme="minorHAnsi"/>
          <w:sz w:val="22"/>
        </w:rPr>
      </w:pPr>
      <w:r>
        <w:fldChar w:fldCharType="begin"/>
      </w:r>
      <w:r>
        <w:instrText xml:space="preserve"> HYPERLINK \l "_Toc256000009" </w:instrText>
      </w:r>
      <w:r>
        <w:fldChar w:fldCharType="separate"/>
      </w:r>
      <w:r>
        <w:rPr>
          <w:rStyle w:val="11"/>
          <w:rFonts w:ascii="仿宋_GB2312" w:hAnsi="仿宋_GB2312" w:eastAsia="仿宋_GB2312" w:cs="仿宋_GB2312"/>
          <w:kern w:val="36"/>
        </w:rPr>
        <w:t>2投标/响应要求</w:t>
      </w:r>
      <w:r>
        <w:tab/>
      </w:r>
      <w:r>
        <w:fldChar w:fldCharType="begin"/>
      </w:r>
      <w:r>
        <w:instrText xml:space="preserve"> PAGEREF _Toc256000009 \h </w:instrText>
      </w:r>
      <w:r>
        <w:fldChar w:fldCharType="separate"/>
      </w:r>
      <w:r>
        <w:t>7</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"_Toc256000010" </w:instrText>
      </w:r>
      <w:r>
        <w:fldChar w:fldCharType="separate"/>
      </w:r>
      <w:r>
        <w:rPr>
          <w:rStyle w:val="11"/>
          <w:rFonts w:ascii="仿宋_GB2312" w:hAnsi="仿宋_GB2312" w:eastAsia="仿宋_GB2312" w:cs="仿宋_GB2312"/>
        </w:rPr>
        <w:t>2.1对供应商的要求</w:t>
      </w:r>
      <w:r>
        <w:tab/>
      </w:r>
      <w:r>
        <w:fldChar w:fldCharType="begin"/>
      </w:r>
      <w:r>
        <w:instrText xml:space="preserve"> PAGEREF _Toc256000010 \h </w:instrText>
      </w:r>
      <w:r>
        <w:fldChar w:fldCharType="separate"/>
      </w:r>
      <w:r>
        <w:t>7</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"_Toc256000011" </w:instrText>
      </w:r>
      <w:r>
        <w:fldChar w:fldCharType="separate"/>
      </w:r>
      <w:r>
        <w:rPr>
          <w:rStyle w:val="11"/>
          <w:rFonts w:ascii="仿宋_GB2312" w:hAnsi="仿宋_GB2312" w:eastAsia="仿宋_GB2312" w:cs="仿宋_GB2312"/>
        </w:rPr>
        <w:t>2.1.1必备资质</w:t>
      </w:r>
      <w:r>
        <w:tab/>
      </w:r>
      <w:r>
        <w:fldChar w:fldCharType="begin"/>
      </w:r>
      <w:r>
        <w:instrText xml:space="preserve"> PAGEREF _Toc256000011 \h </w:instrText>
      </w:r>
      <w:r>
        <w:fldChar w:fldCharType="separate"/>
      </w:r>
      <w:r>
        <w:t>7</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"_Toc256000012" </w:instrText>
      </w:r>
      <w:r>
        <w:fldChar w:fldCharType="separate"/>
      </w:r>
      <w:r>
        <w:rPr>
          <w:rStyle w:val="11"/>
          <w:rFonts w:ascii="仿宋_GB2312" w:hAnsi="仿宋_GB2312" w:eastAsia="仿宋_GB2312" w:cs="仿宋_GB2312"/>
        </w:rPr>
        <w:t>2.1.2优选资质/优选指标</w:t>
      </w:r>
      <w:r>
        <w:tab/>
      </w:r>
      <w:r>
        <w:fldChar w:fldCharType="begin"/>
      </w:r>
      <w:r>
        <w:instrText xml:space="preserve"> PAGEREF _Toc256000012 \h </w:instrText>
      </w:r>
      <w:r>
        <w:fldChar w:fldCharType="separate"/>
      </w:r>
      <w:r>
        <w:t>8</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"_Toc256000013" </w:instrText>
      </w:r>
      <w:r>
        <w:fldChar w:fldCharType="separate"/>
      </w:r>
      <w:r>
        <w:rPr>
          <w:rStyle w:val="11"/>
          <w:rFonts w:ascii="仿宋_GB2312" w:hAnsi="仿宋_GB2312" w:eastAsia="仿宋_GB2312" w:cs="仿宋_GB2312"/>
        </w:rPr>
        <w:t>2.1.3是否允许联合体</w:t>
      </w:r>
      <w:r>
        <w:tab/>
      </w:r>
      <w:r>
        <w:fldChar w:fldCharType="begin"/>
      </w:r>
      <w:r>
        <w:instrText xml:space="preserve"> PAGEREF _Toc256000013 \h </w:instrText>
      </w:r>
      <w:r>
        <w:fldChar w:fldCharType="separate"/>
      </w:r>
      <w:r>
        <w:t>8</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"_Toc256000014" </w:instrText>
      </w:r>
      <w:r>
        <w:fldChar w:fldCharType="separate"/>
      </w:r>
      <w:r>
        <w:rPr>
          <w:rStyle w:val="11"/>
          <w:rFonts w:ascii="仿宋_GB2312" w:hAnsi="仿宋_GB2312" w:eastAsia="仿宋_GB2312" w:cs="仿宋_GB2312"/>
        </w:rPr>
        <w:t>2.1.4是否专门面向中小企业</w:t>
      </w:r>
      <w:r>
        <w:tab/>
      </w:r>
      <w:r>
        <w:fldChar w:fldCharType="begin"/>
      </w:r>
      <w:r>
        <w:instrText xml:space="preserve"> PAGEREF _Toc256000014 \h </w:instrText>
      </w:r>
      <w:r>
        <w:fldChar w:fldCharType="separate"/>
      </w:r>
      <w:r>
        <w:t>8</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"_Toc256000015" </w:instrText>
      </w:r>
      <w:r>
        <w:fldChar w:fldCharType="separate"/>
      </w:r>
      <w:r>
        <w:rPr>
          <w:rStyle w:val="11"/>
          <w:rFonts w:ascii="仿宋_GB2312" w:hAnsi="仿宋_GB2312" w:eastAsia="仿宋_GB2312" w:cs="仿宋_GB2312"/>
        </w:rPr>
        <w:t>2.1.5其他要求</w:t>
      </w:r>
      <w:r>
        <w:tab/>
      </w:r>
      <w:r>
        <w:fldChar w:fldCharType="begin"/>
      </w:r>
      <w:r>
        <w:instrText xml:space="preserve"> PAGEREF _Toc256000015 \h </w:instrText>
      </w:r>
      <w:r>
        <w:fldChar w:fldCharType="separate"/>
      </w:r>
      <w:r>
        <w:t>8</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"_Toc256000016" </w:instrText>
      </w:r>
      <w:r>
        <w:fldChar w:fldCharType="separate"/>
      </w:r>
      <w:r>
        <w:rPr>
          <w:rStyle w:val="11"/>
          <w:rFonts w:ascii="仿宋_GB2312" w:hAnsi="仿宋_GB2312" w:eastAsia="仿宋_GB2312" w:cs="仿宋_GB2312"/>
        </w:rPr>
        <w:t>2.2技术部分投标/响应内容</w:t>
      </w:r>
      <w:r>
        <w:tab/>
      </w:r>
      <w:r>
        <w:fldChar w:fldCharType="begin"/>
      </w:r>
      <w:r>
        <w:instrText xml:space="preserve"> PAGEREF _Toc256000016 \h </w:instrText>
      </w:r>
      <w:r>
        <w:fldChar w:fldCharType="separate"/>
      </w:r>
      <w:r>
        <w:t>8</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"_Toc256000017" </w:instrText>
      </w:r>
      <w:r>
        <w:fldChar w:fldCharType="separate"/>
      </w:r>
      <w:r>
        <w:rPr>
          <w:rStyle w:val="11"/>
          <w:rFonts w:ascii="仿宋_GB2312" w:hAnsi="仿宋_GB2312" w:eastAsia="仿宋_GB2312" w:cs="仿宋_GB2312"/>
        </w:rPr>
        <w:t>2.2.1技术投标/响应总要求</w:t>
      </w:r>
      <w:r>
        <w:tab/>
      </w:r>
      <w:r>
        <w:fldChar w:fldCharType="begin"/>
      </w:r>
      <w:r>
        <w:instrText xml:space="preserve"> PAGEREF _Toc256000017 \h </w:instrText>
      </w:r>
      <w:r>
        <w:fldChar w:fldCharType="separate"/>
      </w:r>
      <w:r>
        <w:t>8</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"_Toc256000018" </w:instrText>
      </w:r>
      <w:r>
        <w:fldChar w:fldCharType="separate"/>
      </w:r>
      <w:r>
        <w:rPr>
          <w:rStyle w:val="11"/>
          <w:rFonts w:ascii="仿宋_GB2312" w:hAnsi="仿宋_GB2312" w:eastAsia="仿宋_GB2312" w:cs="仿宋_GB2312"/>
        </w:rPr>
        <w:t>2.2.2投标/响应方案要求</w:t>
      </w:r>
      <w:r>
        <w:tab/>
      </w:r>
      <w:r>
        <w:fldChar w:fldCharType="begin"/>
      </w:r>
      <w:r>
        <w:instrText xml:space="preserve"> PAGEREF _Toc256000018 \h </w:instrText>
      </w:r>
      <w:r>
        <w:fldChar w:fldCharType="separate"/>
      </w:r>
      <w:r>
        <w:t>9</w:t>
      </w:r>
      <w:r>
        <w:fldChar w:fldCharType="end"/>
      </w:r>
      <w:r>
        <w:fldChar w:fldCharType="end"/>
      </w:r>
    </w:p>
    <w:p>
      <w:pPr>
        <w:pStyle w:val="7"/>
        <w:tabs>
          <w:tab w:val="right" w:leader="dot" w:pos="9016"/>
        </w:tabs>
        <w:spacing w:before="0" w:after="0" w:line="360" w:lineRule="auto"/>
        <w:rPr>
          <w:rFonts w:asciiTheme="minorHAnsi" w:hAnsiTheme="minorHAnsi"/>
          <w:sz w:val="22"/>
        </w:rPr>
      </w:pPr>
      <w:r>
        <w:fldChar w:fldCharType="begin"/>
      </w:r>
      <w:r>
        <w:instrText xml:space="preserve"> HYPERLINK \l "_Toc256000019" </w:instrText>
      </w:r>
      <w:r>
        <w:fldChar w:fldCharType="separate"/>
      </w:r>
      <w:r>
        <w:rPr>
          <w:rStyle w:val="11"/>
          <w:rFonts w:ascii="仿宋_GB2312" w:hAnsi="仿宋_GB2312" w:eastAsia="仿宋_GB2312" w:cs="仿宋_GB2312"/>
          <w:kern w:val="36"/>
        </w:rPr>
        <w:t>3项目需求</w:t>
      </w:r>
      <w:r>
        <w:tab/>
      </w:r>
      <w:r>
        <w:fldChar w:fldCharType="begin"/>
      </w:r>
      <w:r>
        <w:instrText xml:space="preserve"> PAGEREF _Toc256000019 \h </w:instrText>
      </w:r>
      <w:r>
        <w:fldChar w:fldCharType="separate"/>
      </w:r>
      <w:r>
        <w:t>10</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"_Toc256000020" </w:instrText>
      </w:r>
      <w:r>
        <w:fldChar w:fldCharType="separate"/>
      </w:r>
      <w:r>
        <w:rPr>
          <w:rStyle w:val="11"/>
          <w:rFonts w:ascii="仿宋_GB2312" w:hAnsi="仿宋_GB2312" w:eastAsia="仿宋_GB2312" w:cs="仿宋_GB2312"/>
        </w:rPr>
        <w:t>3.1总体要求</w:t>
      </w:r>
      <w:r>
        <w:tab/>
      </w:r>
      <w:r>
        <w:fldChar w:fldCharType="begin"/>
      </w:r>
      <w:r>
        <w:instrText xml:space="preserve"> PAGEREF _Toc256000020 \h </w:instrText>
      </w:r>
      <w:r>
        <w:fldChar w:fldCharType="separate"/>
      </w:r>
      <w:r>
        <w:t>10</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"_Toc256000021" </w:instrText>
      </w:r>
      <w:r>
        <w:fldChar w:fldCharType="separate"/>
      </w:r>
      <w:r>
        <w:rPr>
          <w:rStyle w:val="11"/>
          <w:rFonts w:ascii="仿宋_GB2312" w:hAnsi="仿宋_GB2312" w:eastAsia="仿宋_GB2312" w:cs="仿宋_GB2312"/>
        </w:rPr>
        <w:t>3.2采购产品一览表</w:t>
      </w:r>
      <w:r>
        <w:tab/>
      </w:r>
      <w:r>
        <w:fldChar w:fldCharType="begin"/>
      </w:r>
      <w:r>
        <w:instrText xml:space="preserve"> PAGEREF _Toc256000021 \h </w:instrText>
      </w:r>
      <w:r>
        <w:fldChar w:fldCharType="separate"/>
      </w:r>
      <w:r>
        <w:t>11</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"_Toc256000022" </w:instrText>
      </w:r>
      <w:r>
        <w:fldChar w:fldCharType="separate"/>
      </w:r>
      <w:r>
        <w:rPr>
          <w:rStyle w:val="11"/>
          <w:rFonts w:ascii="仿宋_GB2312" w:hAnsi="仿宋_GB2312" w:eastAsia="仿宋_GB2312" w:cs="仿宋_GB2312"/>
        </w:rPr>
        <w:t>3.3采购产品详细清单及技术指标</w:t>
      </w:r>
      <w:r>
        <w:tab/>
      </w:r>
      <w:r>
        <w:fldChar w:fldCharType="begin"/>
      </w:r>
      <w:r>
        <w:instrText xml:space="preserve"> PAGEREF _Toc256000022 \h </w:instrText>
      </w:r>
      <w:r>
        <w:fldChar w:fldCharType="separate"/>
      </w:r>
      <w:r>
        <w:t>11</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"_Toc256000023" </w:instrText>
      </w:r>
      <w:r>
        <w:fldChar w:fldCharType="separate"/>
      </w:r>
      <w:r>
        <w:rPr>
          <w:rStyle w:val="11"/>
          <w:rFonts w:ascii="仿宋_GB2312" w:hAnsi="仿宋_GB2312" w:eastAsia="仿宋_GB2312" w:cs="仿宋_GB2312"/>
        </w:rPr>
        <w:t>3.3.1通用计算节点1服务器（137台）</w:t>
      </w:r>
      <w:r>
        <w:tab/>
      </w:r>
      <w:r>
        <w:fldChar w:fldCharType="begin"/>
      </w:r>
      <w:r>
        <w:instrText xml:space="preserve"> PAGEREF _Toc256000023 \h </w:instrText>
      </w:r>
      <w:r>
        <w:fldChar w:fldCharType="separate"/>
      </w:r>
      <w:r>
        <w:t>11</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"_Toc256000024" </w:instrText>
      </w:r>
      <w:r>
        <w:fldChar w:fldCharType="separate"/>
      </w:r>
      <w:r>
        <w:rPr>
          <w:rStyle w:val="11"/>
          <w:rFonts w:ascii="仿宋_GB2312" w:hAnsi="仿宋_GB2312" w:eastAsia="仿宋_GB2312" w:cs="仿宋_GB2312"/>
        </w:rPr>
        <w:t>3.3.2通用计算节点2服务器（14台）</w:t>
      </w:r>
      <w:r>
        <w:tab/>
      </w:r>
      <w:r>
        <w:fldChar w:fldCharType="begin"/>
      </w:r>
      <w:r>
        <w:instrText xml:space="preserve"> PAGEREF _Toc256000024 \h </w:instrText>
      </w:r>
      <w:r>
        <w:fldChar w:fldCharType="separate"/>
      </w:r>
      <w:r>
        <w:t>13</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"_Toc256000025" </w:instrText>
      </w:r>
      <w:r>
        <w:fldChar w:fldCharType="separate"/>
      </w:r>
      <w:r>
        <w:rPr>
          <w:rStyle w:val="11"/>
          <w:rFonts w:ascii="仿宋_GB2312" w:hAnsi="仿宋_GB2312" w:eastAsia="仿宋_GB2312" w:cs="仿宋_GB2312"/>
        </w:rPr>
        <w:t>3.3.3通用存储节点1服务器（21台）</w:t>
      </w:r>
      <w:r>
        <w:tab/>
      </w:r>
      <w:r>
        <w:fldChar w:fldCharType="begin"/>
      </w:r>
      <w:r>
        <w:instrText xml:space="preserve"> PAGEREF _Toc256000025 \h </w:instrText>
      </w:r>
      <w:r>
        <w:fldChar w:fldCharType="separate"/>
      </w:r>
      <w:r>
        <w:t>14</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"_Toc256000026" </w:instrText>
      </w:r>
      <w:r>
        <w:fldChar w:fldCharType="separate"/>
      </w:r>
      <w:r>
        <w:rPr>
          <w:rStyle w:val="11"/>
          <w:rFonts w:ascii="仿宋_GB2312" w:hAnsi="仿宋_GB2312" w:eastAsia="仿宋_GB2312" w:cs="仿宋_GB2312"/>
        </w:rPr>
        <w:t>3.3.4通用存储节点2服务器（122台）</w:t>
      </w:r>
      <w:r>
        <w:tab/>
      </w:r>
      <w:r>
        <w:fldChar w:fldCharType="begin"/>
      </w:r>
      <w:r>
        <w:instrText xml:space="preserve"> PAGEREF _Toc256000026 \h </w:instrText>
      </w:r>
      <w:r>
        <w:fldChar w:fldCharType="separate"/>
      </w:r>
      <w:r>
        <w:t>15</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"_Toc256000027" </w:instrText>
      </w:r>
      <w:r>
        <w:fldChar w:fldCharType="separate"/>
      </w:r>
      <w:r>
        <w:rPr>
          <w:rStyle w:val="11"/>
          <w:rFonts w:ascii="仿宋_GB2312" w:hAnsi="仿宋_GB2312" w:eastAsia="仿宋_GB2312" w:cs="仿宋_GB2312"/>
        </w:rPr>
        <w:t>3.3.5通用存储节点3服务器（4台）</w:t>
      </w:r>
      <w:r>
        <w:tab/>
      </w:r>
      <w:r>
        <w:fldChar w:fldCharType="begin"/>
      </w:r>
      <w:r>
        <w:instrText xml:space="preserve"> PAGEREF _Toc256000027 \h </w:instrText>
      </w:r>
      <w:r>
        <w:fldChar w:fldCharType="separate"/>
      </w:r>
      <w:r>
        <w:t>16</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"_Toc256000028" </w:instrText>
      </w:r>
      <w:r>
        <w:fldChar w:fldCharType="separate"/>
      </w:r>
      <w:r>
        <w:rPr>
          <w:rStyle w:val="11"/>
          <w:rFonts w:ascii="仿宋_GB2312" w:hAnsi="仿宋_GB2312" w:eastAsia="仿宋_GB2312" w:cs="仿宋_GB2312"/>
        </w:rPr>
        <w:t>3.3.6万兆接入交换机（14台）</w:t>
      </w:r>
      <w:r>
        <w:tab/>
      </w:r>
      <w:r>
        <w:fldChar w:fldCharType="begin"/>
      </w:r>
      <w:r>
        <w:instrText xml:space="preserve"> PAGEREF _Toc256000028 \h </w:instrText>
      </w:r>
      <w:r>
        <w:fldChar w:fldCharType="separate"/>
      </w:r>
      <w:r>
        <w:t>17</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"_Toc256000029" </w:instrText>
      </w:r>
      <w:r>
        <w:fldChar w:fldCharType="separate"/>
      </w:r>
      <w:r>
        <w:rPr>
          <w:rStyle w:val="11"/>
          <w:rFonts w:ascii="仿宋_GB2312" w:hAnsi="仿宋_GB2312" w:eastAsia="仿宋_GB2312" w:cs="仿宋_GB2312"/>
        </w:rPr>
        <w:t>3.3.7千兆接入交换机（7台）</w:t>
      </w:r>
      <w:r>
        <w:tab/>
      </w:r>
      <w:r>
        <w:fldChar w:fldCharType="begin"/>
      </w:r>
      <w:r>
        <w:instrText xml:space="preserve"> PAGEREF _Toc256000029 \h </w:instrText>
      </w:r>
      <w:r>
        <w:fldChar w:fldCharType="separate"/>
      </w:r>
      <w:r>
        <w:t>18</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"_Toc256000030" </w:instrText>
      </w:r>
      <w:r>
        <w:fldChar w:fldCharType="separate"/>
      </w:r>
      <w:r>
        <w:rPr>
          <w:rStyle w:val="11"/>
          <w:rFonts w:ascii="仿宋_GB2312" w:hAnsi="仿宋_GB2312" w:eastAsia="仿宋_GB2312" w:cs="仿宋_GB2312"/>
        </w:rPr>
        <w:t>3.3.8运维安全管理设备（2台）</w:t>
      </w:r>
      <w:r>
        <w:tab/>
      </w:r>
      <w:r>
        <w:fldChar w:fldCharType="begin"/>
      </w:r>
      <w:r>
        <w:instrText xml:space="preserve"> PAGEREF _Toc256000030 \h </w:instrText>
      </w:r>
      <w:r>
        <w:fldChar w:fldCharType="separate"/>
      </w:r>
      <w:r>
        <w:t>18</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"_Toc256000031" </w:instrText>
      </w:r>
      <w:r>
        <w:fldChar w:fldCharType="separate"/>
      </w:r>
      <w:r>
        <w:rPr>
          <w:rStyle w:val="11"/>
          <w:rFonts w:ascii="仿宋_GB2312" w:hAnsi="仿宋_GB2312" w:eastAsia="仿宋_GB2312" w:cs="仿宋_GB2312"/>
        </w:rPr>
        <w:t>3.3.9</w:t>
      </w:r>
      <w:r>
        <w:rPr>
          <w:rStyle w:val="11"/>
          <w:rFonts w:hint="eastAsia" w:ascii="仿宋_GB2312" w:hAnsi="仿宋_GB2312" w:eastAsia="仿宋_GB2312" w:cs="仿宋_GB2312"/>
          <w:lang w:val="en-US" w:eastAsia="zh-CN"/>
        </w:rPr>
        <w:t xml:space="preserve"> </w:t>
      </w:r>
      <w:r>
        <w:rPr>
          <w:rStyle w:val="11"/>
          <w:rFonts w:ascii="仿宋_GB2312" w:hAnsi="仿宋_GB2312" w:eastAsia="仿宋_GB2312" w:cs="仿宋_GB2312"/>
        </w:rPr>
        <w:t>Web漏洞设备（1台）</w:t>
      </w:r>
      <w:r>
        <w:tab/>
      </w:r>
      <w:r>
        <w:fldChar w:fldCharType="begin"/>
      </w:r>
      <w:r>
        <w:instrText xml:space="preserve"> PAGEREF _Toc256000031 \h </w:instrText>
      </w:r>
      <w:r>
        <w:fldChar w:fldCharType="separate"/>
      </w:r>
      <w:r>
        <w:t>21</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"_Toc256000032" </w:instrText>
      </w:r>
      <w:r>
        <w:fldChar w:fldCharType="separate"/>
      </w:r>
      <w:r>
        <w:rPr>
          <w:rStyle w:val="11"/>
          <w:rFonts w:ascii="仿宋_GB2312" w:hAnsi="仿宋_GB2312" w:eastAsia="仿宋_GB2312" w:cs="仿宋_GB2312"/>
        </w:rPr>
        <w:t>3.3.10入侵防御设备（IPS）（2台）</w:t>
      </w:r>
      <w:r>
        <w:tab/>
      </w:r>
      <w:r>
        <w:fldChar w:fldCharType="begin"/>
      </w:r>
      <w:r>
        <w:instrText xml:space="preserve"> PAGEREF _Toc256000032 \h </w:instrText>
      </w:r>
      <w:r>
        <w:fldChar w:fldCharType="separate"/>
      </w:r>
      <w:r>
        <w:t>24</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"_Toc256000033" </w:instrText>
      </w:r>
      <w:r>
        <w:fldChar w:fldCharType="separate"/>
      </w:r>
      <w:r>
        <w:rPr>
          <w:rStyle w:val="11"/>
          <w:rFonts w:ascii="仿宋_GB2312" w:hAnsi="仿宋_GB2312" w:eastAsia="仿宋_GB2312" w:cs="仿宋_GB2312"/>
        </w:rPr>
        <w:t>3.3.11流量监控设备（2台）</w:t>
      </w:r>
      <w:r>
        <w:tab/>
      </w:r>
      <w:r>
        <w:fldChar w:fldCharType="begin"/>
      </w:r>
      <w:r>
        <w:instrText xml:space="preserve"> PAGEREF _Toc256000033 \h </w:instrText>
      </w:r>
      <w:r>
        <w:fldChar w:fldCharType="separate"/>
      </w:r>
      <w:r>
        <w:t>28</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"_Toc256000034" </w:instrText>
      </w:r>
      <w:r>
        <w:fldChar w:fldCharType="separate"/>
      </w:r>
      <w:r>
        <w:rPr>
          <w:rStyle w:val="11"/>
          <w:rFonts w:ascii="仿宋_GB2312" w:hAnsi="仿宋_GB2312" w:eastAsia="仿宋_GB2312" w:cs="仿宋_GB2312"/>
        </w:rPr>
        <w:t>3.3.12精密空调（2台）</w:t>
      </w:r>
      <w:r>
        <w:tab/>
      </w:r>
      <w:r>
        <w:fldChar w:fldCharType="begin"/>
      </w:r>
      <w:r>
        <w:instrText xml:space="preserve"> PAGEREF _Toc256000034 \h </w:instrText>
      </w:r>
      <w:r>
        <w:fldChar w:fldCharType="separate"/>
      </w:r>
      <w:r>
        <w:t>32</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"_Toc256000035" </w:instrText>
      </w:r>
      <w:r>
        <w:fldChar w:fldCharType="separate"/>
      </w:r>
      <w:r>
        <w:rPr>
          <w:rStyle w:val="11"/>
          <w:rFonts w:ascii="仿宋_GB2312" w:hAnsi="仿宋_GB2312" w:eastAsia="仿宋_GB2312" w:cs="仿宋_GB2312"/>
        </w:rPr>
        <w:t>3.3.13硬件集成实施要求</w:t>
      </w:r>
      <w:r>
        <w:tab/>
      </w:r>
      <w:r>
        <w:fldChar w:fldCharType="begin"/>
      </w:r>
      <w:r>
        <w:instrText xml:space="preserve"> PAGEREF _Toc256000035 \h </w:instrText>
      </w:r>
      <w:r>
        <w:fldChar w:fldCharType="separate"/>
      </w:r>
      <w:r>
        <w:t>34</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"_Toc256000036" </w:instrText>
      </w:r>
      <w:r>
        <w:fldChar w:fldCharType="separate"/>
      </w:r>
      <w:r>
        <w:rPr>
          <w:rStyle w:val="11"/>
          <w:rFonts w:ascii="仿宋_GB2312" w:hAnsi="仿宋_GB2312" w:eastAsia="仿宋_GB2312" w:cs="仿宋_GB2312"/>
        </w:rPr>
        <w:t>3.4服务要求</w:t>
      </w:r>
      <w:r>
        <w:tab/>
      </w:r>
      <w:r>
        <w:fldChar w:fldCharType="begin"/>
      </w:r>
      <w:r>
        <w:instrText xml:space="preserve"> PAGEREF _Toc256000036 \h </w:instrText>
      </w:r>
      <w:r>
        <w:fldChar w:fldCharType="separate"/>
      </w:r>
      <w:r>
        <w:t>38</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"_Toc256000037" </w:instrText>
      </w:r>
      <w:r>
        <w:fldChar w:fldCharType="separate"/>
      </w:r>
      <w:r>
        <w:rPr>
          <w:rStyle w:val="11"/>
          <w:rFonts w:ascii="仿宋_GB2312" w:hAnsi="仿宋_GB2312" w:eastAsia="仿宋_GB2312" w:cs="仿宋_GB2312"/>
        </w:rPr>
        <w:t>3.4.1★质保服务</w:t>
      </w:r>
      <w:r>
        <w:tab/>
      </w:r>
      <w:r>
        <w:fldChar w:fldCharType="begin"/>
      </w:r>
      <w:r>
        <w:instrText xml:space="preserve"> PAGEREF _Toc256000037 \h </w:instrText>
      </w:r>
      <w:r>
        <w:fldChar w:fldCharType="separate"/>
      </w:r>
      <w:r>
        <w:t>38</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"_Toc256000038" </w:instrText>
      </w:r>
      <w:r>
        <w:fldChar w:fldCharType="separate"/>
      </w:r>
      <w:r>
        <w:rPr>
          <w:rStyle w:val="11"/>
          <w:rFonts w:ascii="仿宋_GB2312" w:hAnsi="仿宋_GB2312" w:eastAsia="仿宋_GB2312" w:cs="仿宋_GB2312"/>
        </w:rPr>
        <w:t>3.4.2设备供货</w:t>
      </w:r>
      <w:r>
        <w:tab/>
      </w:r>
      <w:r>
        <w:fldChar w:fldCharType="begin"/>
      </w:r>
      <w:r>
        <w:instrText xml:space="preserve"> PAGEREF _Toc256000038 \h </w:instrText>
      </w:r>
      <w:r>
        <w:fldChar w:fldCharType="separate"/>
      </w:r>
      <w:r>
        <w:t>39</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"_Toc256000039" </w:instrText>
      </w:r>
      <w:r>
        <w:fldChar w:fldCharType="separate"/>
      </w:r>
      <w:r>
        <w:rPr>
          <w:rStyle w:val="11"/>
          <w:rFonts w:ascii="仿宋_GB2312" w:hAnsi="仿宋_GB2312" w:eastAsia="仿宋_GB2312" w:cs="仿宋_GB2312"/>
        </w:rPr>
        <w:t>3.4.3售后服务</w:t>
      </w:r>
      <w:r>
        <w:tab/>
      </w:r>
      <w:r>
        <w:fldChar w:fldCharType="begin"/>
      </w:r>
      <w:r>
        <w:instrText xml:space="preserve"> PAGEREF _Toc256000039 \h </w:instrText>
      </w:r>
      <w:r>
        <w:fldChar w:fldCharType="separate"/>
      </w:r>
      <w:r>
        <w:t>39</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"_Toc256000040" </w:instrText>
      </w:r>
      <w:r>
        <w:fldChar w:fldCharType="separate"/>
      </w:r>
      <w:r>
        <w:rPr>
          <w:rStyle w:val="11"/>
          <w:rFonts w:ascii="仿宋_GB2312" w:hAnsi="仿宋_GB2312" w:eastAsia="仿宋_GB2312" w:cs="仿宋_GB2312"/>
        </w:rPr>
        <w:t>3.4.4应急响应</w:t>
      </w:r>
      <w:r>
        <w:tab/>
      </w:r>
      <w:r>
        <w:fldChar w:fldCharType="begin"/>
      </w:r>
      <w:r>
        <w:instrText xml:space="preserve"> PAGEREF _Toc256000040 \h </w:instrText>
      </w:r>
      <w:r>
        <w:fldChar w:fldCharType="separate"/>
      </w:r>
      <w:r>
        <w:t>40</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"_Toc256000041" </w:instrText>
      </w:r>
      <w:r>
        <w:fldChar w:fldCharType="separate"/>
      </w:r>
      <w:r>
        <w:rPr>
          <w:rStyle w:val="11"/>
          <w:rFonts w:ascii="仿宋_GB2312" w:hAnsi="仿宋_GB2312" w:eastAsia="仿宋_GB2312" w:cs="仿宋_GB2312"/>
        </w:rPr>
        <w:t>3.5其他要求</w:t>
      </w:r>
      <w:r>
        <w:tab/>
      </w:r>
      <w:r>
        <w:fldChar w:fldCharType="begin"/>
      </w:r>
      <w:r>
        <w:instrText xml:space="preserve"> PAGEREF _Toc256000041 \h </w:instrText>
      </w:r>
      <w:r>
        <w:fldChar w:fldCharType="separate"/>
      </w:r>
      <w:r>
        <w:t>40</w:t>
      </w:r>
      <w:r>
        <w:fldChar w:fldCharType="end"/>
      </w:r>
      <w:r>
        <w:fldChar w:fldCharType="end"/>
      </w:r>
    </w:p>
    <w:p>
      <w:pPr>
        <w:pStyle w:val="7"/>
        <w:tabs>
          <w:tab w:val="right" w:leader="dot" w:pos="9016"/>
        </w:tabs>
        <w:spacing w:before="0" w:after="0" w:line="360" w:lineRule="auto"/>
        <w:rPr>
          <w:rFonts w:asciiTheme="minorHAnsi" w:hAnsiTheme="minorHAnsi"/>
          <w:sz w:val="22"/>
        </w:rPr>
      </w:pPr>
      <w:r>
        <w:fldChar w:fldCharType="begin"/>
      </w:r>
      <w:r>
        <w:instrText xml:space="preserve"> HYPERLINK \l "_Toc256000042" </w:instrText>
      </w:r>
      <w:r>
        <w:fldChar w:fldCharType="separate"/>
      </w:r>
      <w:r>
        <w:rPr>
          <w:rStyle w:val="11"/>
          <w:rFonts w:ascii="仿宋_GB2312" w:hAnsi="仿宋_GB2312" w:eastAsia="仿宋_GB2312" w:cs="仿宋_GB2312"/>
          <w:kern w:val="36"/>
        </w:rPr>
        <w:t>4人员要求</w:t>
      </w:r>
      <w:r>
        <w:tab/>
      </w:r>
      <w:r>
        <w:fldChar w:fldCharType="begin"/>
      </w:r>
      <w:r>
        <w:instrText xml:space="preserve"> PAGEREF _Toc256000042 \h </w:instrText>
      </w:r>
      <w:r>
        <w:fldChar w:fldCharType="separate"/>
      </w:r>
      <w:r>
        <w:t>40</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"_Toc256000043" </w:instrText>
      </w:r>
      <w:r>
        <w:fldChar w:fldCharType="separate"/>
      </w:r>
      <w:r>
        <w:rPr>
          <w:rStyle w:val="11"/>
          <w:rFonts w:ascii="仿宋_GB2312" w:hAnsi="仿宋_GB2312" w:eastAsia="仿宋_GB2312" w:cs="仿宋_GB2312"/>
        </w:rPr>
        <w:t>4.1项目组织结构</w:t>
      </w:r>
      <w:r>
        <w:tab/>
      </w:r>
      <w:r>
        <w:fldChar w:fldCharType="begin"/>
      </w:r>
      <w:r>
        <w:instrText xml:space="preserve"> PAGEREF _Toc256000043 \h </w:instrText>
      </w:r>
      <w:r>
        <w:fldChar w:fldCharType="separate"/>
      </w:r>
      <w:r>
        <w:t>40</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"_Toc256000044" </w:instrText>
      </w:r>
      <w:r>
        <w:fldChar w:fldCharType="separate"/>
      </w:r>
      <w:r>
        <w:rPr>
          <w:rStyle w:val="11"/>
          <w:rFonts w:ascii="仿宋_GB2312" w:hAnsi="仿宋_GB2312" w:eastAsia="仿宋_GB2312" w:cs="仿宋_GB2312"/>
        </w:rPr>
        <w:t>4.2团队要求</w:t>
      </w:r>
      <w:r>
        <w:tab/>
      </w:r>
      <w:r>
        <w:fldChar w:fldCharType="begin"/>
      </w:r>
      <w:r>
        <w:instrText xml:space="preserve"> PAGEREF _Toc256000044 \h </w:instrText>
      </w:r>
      <w:r>
        <w:fldChar w:fldCharType="separate"/>
      </w:r>
      <w:r>
        <w:t>40</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"_Toc256000045" </w:instrText>
      </w:r>
      <w:r>
        <w:fldChar w:fldCharType="separate"/>
      </w:r>
      <w:r>
        <w:rPr>
          <w:rStyle w:val="11"/>
          <w:rFonts w:ascii="仿宋_GB2312" w:hAnsi="仿宋_GB2312" w:eastAsia="仿宋_GB2312" w:cs="仿宋_GB2312"/>
        </w:rPr>
        <w:t>4.2.1基本要求</w:t>
      </w:r>
      <w:r>
        <w:tab/>
      </w:r>
      <w:r>
        <w:fldChar w:fldCharType="begin"/>
      </w:r>
      <w:r>
        <w:instrText xml:space="preserve"> PAGEREF _Toc256000045 \h </w:instrText>
      </w:r>
      <w:r>
        <w:fldChar w:fldCharType="separate"/>
      </w:r>
      <w:r>
        <w:t>40</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"_Toc256000046" </w:instrText>
      </w:r>
      <w:r>
        <w:fldChar w:fldCharType="separate"/>
      </w:r>
      <w:r>
        <w:rPr>
          <w:rStyle w:val="11"/>
          <w:rFonts w:ascii="仿宋_GB2312" w:hAnsi="仿宋_GB2312" w:eastAsia="仿宋_GB2312" w:cs="仿宋_GB2312"/>
        </w:rPr>
        <w:t>4.2.2人员管理要求</w:t>
      </w:r>
      <w:r>
        <w:tab/>
      </w:r>
      <w:r>
        <w:fldChar w:fldCharType="begin"/>
      </w:r>
      <w:r>
        <w:instrText xml:space="preserve"> PAGEREF _Toc256000046 \h </w:instrText>
      </w:r>
      <w:r>
        <w:fldChar w:fldCharType="separate"/>
      </w:r>
      <w:r>
        <w:t>41</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"_Toc256000047" </w:instrText>
      </w:r>
      <w:r>
        <w:fldChar w:fldCharType="separate"/>
      </w:r>
      <w:r>
        <w:rPr>
          <w:rStyle w:val="11"/>
          <w:rFonts w:ascii="仿宋_GB2312" w:hAnsi="仿宋_GB2312" w:eastAsia="仿宋_GB2312" w:cs="仿宋_GB2312"/>
        </w:rPr>
        <w:t>4.2.3优选资质/优选指标</w:t>
      </w:r>
      <w:r>
        <w:tab/>
      </w:r>
      <w:r>
        <w:fldChar w:fldCharType="begin"/>
      </w:r>
      <w:r>
        <w:instrText xml:space="preserve"> PAGEREF _Toc256000047 \h </w:instrText>
      </w:r>
      <w:r>
        <w:fldChar w:fldCharType="separate"/>
      </w:r>
      <w:r>
        <w:t>42</w:t>
      </w:r>
      <w:r>
        <w:fldChar w:fldCharType="end"/>
      </w:r>
      <w:r>
        <w:fldChar w:fldCharType="end"/>
      </w:r>
    </w:p>
    <w:p>
      <w:pPr>
        <w:pStyle w:val="7"/>
        <w:tabs>
          <w:tab w:val="right" w:leader="dot" w:pos="9016"/>
        </w:tabs>
        <w:spacing w:before="0" w:after="0" w:line="360" w:lineRule="auto"/>
        <w:rPr>
          <w:rFonts w:asciiTheme="minorHAnsi" w:hAnsiTheme="minorHAnsi"/>
          <w:sz w:val="22"/>
        </w:rPr>
      </w:pPr>
      <w:r>
        <w:fldChar w:fldCharType="begin"/>
      </w:r>
      <w:r>
        <w:instrText xml:space="preserve"> HYPERLINK \l "_Toc256000048" </w:instrText>
      </w:r>
      <w:r>
        <w:fldChar w:fldCharType="separate"/>
      </w:r>
      <w:r>
        <w:rPr>
          <w:rStyle w:val="11"/>
          <w:rFonts w:ascii="仿宋_GB2312" w:hAnsi="仿宋_GB2312" w:eastAsia="仿宋_GB2312" w:cs="仿宋_GB2312"/>
          <w:kern w:val="36"/>
        </w:rPr>
        <w:t>5管理实施要求</w:t>
      </w:r>
      <w:r>
        <w:tab/>
      </w:r>
      <w:r>
        <w:fldChar w:fldCharType="begin"/>
      </w:r>
      <w:r>
        <w:instrText xml:space="preserve"> PAGEREF _Toc256000048 \h </w:instrText>
      </w:r>
      <w:r>
        <w:fldChar w:fldCharType="separate"/>
      </w:r>
      <w:r>
        <w:t>42</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"_Toc256000049" </w:instrText>
      </w:r>
      <w:r>
        <w:fldChar w:fldCharType="separate"/>
      </w:r>
      <w:r>
        <w:rPr>
          <w:rStyle w:val="11"/>
          <w:rFonts w:ascii="仿宋_GB2312" w:hAnsi="仿宋_GB2312" w:eastAsia="仿宋_GB2312" w:cs="仿宋_GB2312"/>
        </w:rPr>
        <w:t>5.1总体要求</w:t>
      </w:r>
      <w:r>
        <w:tab/>
      </w:r>
      <w:r>
        <w:fldChar w:fldCharType="begin"/>
      </w:r>
      <w:r>
        <w:instrText xml:space="preserve"> PAGEREF _Toc256000049 \h </w:instrText>
      </w:r>
      <w:r>
        <w:fldChar w:fldCharType="separate"/>
      </w:r>
      <w:r>
        <w:t>42</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"_Toc256000050" </w:instrText>
      </w:r>
      <w:r>
        <w:fldChar w:fldCharType="separate"/>
      </w:r>
      <w:r>
        <w:rPr>
          <w:rStyle w:val="11"/>
          <w:rFonts w:ascii="仿宋_GB2312" w:hAnsi="仿宋_GB2312" w:eastAsia="仿宋_GB2312" w:cs="仿宋_GB2312"/>
        </w:rPr>
        <w:t>5.2实施要求</w:t>
      </w:r>
      <w:r>
        <w:tab/>
      </w:r>
      <w:r>
        <w:fldChar w:fldCharType="begin"/>
      </w:r>
      <w:r>
        <w:instrText xml:space="preserve"> PAGEREF _Toc256000050 \h </w:instrText>
      </w:r>
      <w:r>
        <w:fldChar w:fldCharType="separate"/>
      </w:r>
      <w:r>
        <w:t>43</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"_Toc256000051" </w:instrText>
      </w:r>
      <w:r>
        <w:fldChar w:fldCharType="separate"/>
      </w:r>
      <w:r>
        <w:rPr>
          <w:rStyle w:val="11"/>
          <w:rFonts w:ascii="方正仿宋_GB2312" w:hAnsi="方正仿宋_GB2312" w:eastAsia="方正仿宋_GB2312" w:cs="方正仿宋_GB2312"/>
        </w:rPr>
        <w:t>5.2.1实施方案要求</w:t>
      </w:r>
      <w:r>
        <w:tab/>
      </w:r>
      <w:r>
        <w:fldChar w:fldCharType="begin"/>
      </w:r>
      <w:r>
        <w:instrText xml:space="preserve"> PAGEREF _Toc256000051 \h </w:instrText>
      </w:r>
      <w:r>
        <w:fldChar w:fldCharType="separate"/>
      </w:r>
      <w:r>
        <w:t>43</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"_Toc256000052" </w:instrText>
      </w:r>
      <w:r>
        <w:fldChar w:fldCharType="separate"/>
      </w:r>
      <w:r>
        <w:rPr>
          <w:rStyle w:val="11"/>
          <w:rFonts w:ascii="仿宋_GB2312" w:hAnsi="仿宋_GB2312" w:eastAsia="仿宋_GB2312" w:cs="仿宋_GB2312"/>
        </w:rPr>
        <w:t>5.3项目管控要求</w:t>
      </w:r>
      <w:r>
        <w:tab/>
      </w:r>
      <w:r>
        <w:fldChar w:fldCharType="begin"/>
      </w:r>
      <w:r>
        <w:instrText xml:space="preserve"> PAGEREF _Toc256000052 \h </w:instrText>
      </w:r>
      <w:r>
        <w:fldChar w:fldCharType="separate"/>
      </w:r>
      <w:r>
        <w:t>44</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"_Toc256000053" </w:instrText>
      </w:r>
      <w:r>
        <w:fldChar w:fldCharType="separate"/>
      </w:r>
      <w:r>
        <w:rPr>
          <w:rStyle w:val="11"/>
          <w:rFonts w:ascii="方正仿宋_GB2312" w:hAnsi="方正仿宋_GB2312" w:eastAsia="方正仿宋_GB2312" w:cs="方正仿宋_GB2312"/>
        </w:rPr>
        <w:t>5.3.1沟通管理要求</w:t>
      </w:r>
      <w:r>
        <w:tab/>
      </w:r>
      <w:r>
        <w:fldChar w:fldCharType="begin"/>
      </w:r>
      <w:r>
        <w:instrText xml:space="preserve"> PAGEREF _Toc256000053 \h </w:instrText>
      </w:r>
      <w:r>
        <w:fldChar w:fldCharType="separate"/>
      </w:r>
      <w:r>
        <w:t>44</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"_Toc256000054" </w:instrText>
      </w:r>
      <w:r>
        <w:fldChar w:fldCharType="separate"/>
      </w:r>
      <w:r>
        <w:rPr>
          <w:rStyle w:val="11"/>
          <w:rFonts w:ascii="方正仿宋_GB2312" w:hAnsi="方正仿宋_GB2312" w:eastAsia="方正仿宋_GB2312" w:cs="方正仿宋_GB2312"/>
        </w:rPr>
        <w:t>5.3.2进度管理要求</w:t>
      </w:r>
      <w:r>
        <w:tab/>
      </w:r>
      <w:r>
        <w:fldChar w:fldCharType="begin"/>
      </w:r>
      <w:r>
        <w:instrText xml:space="preserve"> PAGEREF _Toc256000054 \h </w:instrText>
      </w:r>
      <w:r>
        <w:fldChar w:fldCharType="separate"/>
      </w:r>
      <w:r>
        <w:t>44</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"_Toc256000055" </w:instrText>
      </w:r>
      <w:r>
        <w:fldChar w:fldCharType="separate"/>
      </w:r>
      <w:r>
        <w:rPr>
          <w:rStyle w:val="11"/>
          <w:rFonts w:ascii="方正仿宋_GB2312" w:hAnsi="方正仿宋_GB2312" w:eastAsia="方正仿宋_GB2312" w:cs="方正仿宋_GB2312"/>
        </w:rPr>
        <w:t>5.3.4变更管理要求</w:t>
      </w:r>
      <w:r>
        <w:tab/>
      </w:r>
      <w:r>
        <w:fldChar w:fldCharType="begin"/>
      </w:r>
      <w:r>
        <w:instrText xml:space="preserve"> PAGEREF _Toc256000055 \h </w:instrText>
      </w:r>
      <w:r>
        <w:fldChar w:fldCharType="separate"/>
      </w:r>
      <w:r>
        <w:t>44</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"_Toc256000056" </w:instrText>
      </w:r>
      <w:r>
        <w:fldChar w:fldCharType="separate"/>
      </w:r>
      <w:r>
        <w:rPr>
          <w:rStyle w:val="11"/>
          <w:rFonts w:ascii="方正仿宋_GB2312" w:hAnsi="方正仿宋_GB2312" w:eastAsia="方正仿宋_GB2312" w:cs="方正仿宋_GB2312"/>
        </w:rPr>
        <w:t>5.3.5团队管理要求</w:t>
      </w:r>
      <w:r>
        <w:tab/>
      </w:r>
      <w:r>
        <w:fldChar w:fldCharType="begin"/>
      </w:r>
      <w:r>
        <w:instrText xml:space="preserve"> PAGEREF _Toc256000056 \h </w:instrText>
      </w:r>
      <w:r>
        <w:fldChar w:fldCharType="separate"/>
      </w:r>
      <w:r>
        <w:t>44</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"_Toc256000058" </w:instrText>
      </w:r>
      <w:r>
        <w:fldChar w:fldCharType="separate"/>
      </w:r>
      <w:r>
        <w:rPr>
          <w:rStyle w:val="11"/>
          <w:rFonts w:ascii="方正仿宋_GB2312" w:hAnsi="方正仿宋_GB2312" w:eastAsia="方正仿宋_GB2312" w:cs="方正仿宋_GB2312"/>
        </w:rPr>
        <w:t>5.3.6安全管理要求</w:t>
      </w:r>
      <w:r>
        <w:tab/>
      </w:r>
      <w:r>
        <w:fldChar w:fldCharType="begin"/>
      </w:r>
      <w:r>
        <w:instrText xml:space="preserve"> PAGEREF _Toc256000058 \h </w:instrText>
      </w:r>
      <w:r>
        <w:fldChar w:fldCharType="separate"/>
      </w:r>
      <w:r>
        <w:t>45</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"_Toc256000059" </w:instrText>
      </w:r>
      <w:r>
        <w:fldChar w:fldCharType="separate"/>
      </w:r>
      <w:r>
        <w:rPr>
          <w:rStyle w:val="11"/>
          <w:rFonts w:ascii="仿宋_GB2312" w:hAnsi="仿宋_GB2312" w:eastAsia="仿宋_GB2312" w:cs="仿宋_GB2312"/>
        </w:rPr>
        <w:t>5.4质量管理要求</w:t>
      </w:r>
      <w:r>
        <w:tab/>
      </w:r>
      <w:r>
        <w:fldChar w:fldCharType="begin"/>
      </w:r>
      <w:r>
        <w:instrText xml:space="preserve"> PAGEREF _Toc256000059 \h </w:instrText>
      </w:r>
      <w:r>
        <w:fldChar w:fldCharType="separate"/>
      </w:r>
      <w:r>
        <w:t>45</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"_Toc256000060" </w:instrText>
      </w:r>
      <w:r>
        <w:fldChar w:fldCharType="separate"/>
      </w:r>
      <w:r>
        <w:rPr>
          <w:rStyle w:val="11"/>
          <w:rFonts w:ascii="仿宋_GB2312" w:hAnsi="仿宋_GB2312" w:eastAsia="仿宋_GB2312" w:cs="仿宋_GB2312"/>
        </w:rPr>
        <w:t>5.5知识产权要求</w:t>
      </w:r>
      <w:r>
        <w:tab/>
      </w:r>
      <w:r>
        <w:fldChar w:fldCharType="begin"/>
      </w:r>
      <w:r>
        <w:instrText xml:space="preserve"> PAGEREF _Toc256000060 \h </w:instrText>
      </w:r>
      <w:r>
        <w:fldChar w:fldCharType="separate"/>
      </w:r>
      <w:r>
        <w:t>45</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"_Toc256000061" </w:instrText>
      </w:r>
      <w:r>
        <w:fldChar w:fldCharType="separate"/>
      </w:r>
      <w:r>
        <w:rPr>
          <w:rStyle w:val="11"/>
          <w:rFonts w:ascii="仿宋_GB2312" w:hAnsi="仿宋_GB2312" w:eastAsia="仿宋_GB2312" w:cs="仿宋_GB2312"/>
        </w:rPr>
        <w:t>5.6文档要求</w:t>
      </w:r>
      <w:r>
        <w:tab/>
      </w:r>
      <w:r>
        <w:fldChar w:fldCharType="begin"/>
      </w:r>
      <w:r>
        <w:instrText xml:space="preserve"> PAGEREF _Toc256000061 \h </w:instrText>
      </w:r>
      <w:r>
        <w:fldChar w:fldCharType="separate"/>
      </w:r>
      <w:r>
        <w:t>45</w:t>
      </w:r>
      <w:r>
        <w:fldChar w:fldCharType="end"/>
      </w:r>
      <w:r>
        <w:fldChar w:fldCharType="end"/>
      </w:r>
    </w:p>
    <w:p>
      <w:pPr>
        <w:pStyle w:val="7"/>
        <w:tabs>
          <w:tab w:val="right" w:leader="dot" w:pos="9016"/>
        </w:tabs>
        <w:spacing w:before="0" w:after="0" w:line="360" w:lineRule="auto"/>
        <w:rPr>
          <w:rFonts w:asciiTheme="minorHAnsi" w:hAnsiTheme="minorHAnsi"/>
          <w:sz w:val="22"/>
        </w:rPr>
      </w:pPr>
      <w:r>
        <w:fldChar w:fldCharType="begin"/>
      </w:r>
      <w:r>
        <w:instrText xml:space="preserve"> HYPERLINK \l "_Toc256000062" </w:instrText>
      </w:r>
      <w:r>
        <w:fldChar w:fldCharType="separate"/>
      </w:r>
      <w:r>
        <w:rPr>
          <w:rStyle w:val="11"/>
          <w:rFonts w:ascii="仿宋_GB2312" w:hAnsi="仿宋_GB2312" w:eastAsia="仿宋_GB2312" w:cs="仿宋_GB2312"/>
          <w:kern w:val="36"/>
        </w:rPr>
        <w:t>6风险管控要求</w:t>
      </w:r>
      <w:r>
        <w:tab/>
      </w:r>
      <w:r>
        <w:fldChar w:fldCharType="begin"/>
      </w:r>
      <w:r>
        <w:instrText xml:space="preserve"> PAGEREF _Toc256000062 \h </w:instrText>
      </w:r>
      <w:r>
        <w:fldChar w:fldCharType="separate"/>
      </w:r>
      <w:r>
        <w:t>46</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"_Toc256000063" </w:instrText>
      </w:r>
      <w:r>
        <w:fldChar w:fldCharType="separate"/>
      </w:r>
      <w:r>
        <w:rPr>
          <w:rStyle w:val="11"/>
          <w:rFonts w:ascii="仿宋_GB2312" w:hAnsi="仿宋_GB2312" w:eastAsia="仿宋_GB2312" w:cs="仿宋_GB2312"/>
        </w:rPr>
        <w:t>6.1总体要求</w:t>
      </w:r>
      <w:r>
        <w:tab/>
      </w:r>
      <w:r>
        <w:fldChar w:fldCharType="begin"/>
      </w:r>
      <w:r>
        <w:instrText xml:space="preserve"> PAGEREF _Toc256000063 \h </w:instrText>
      </w:r>
      <w:r>
        <w:fldChar w:fldCharType="separate"/>
      </w:r>
      <w:r>
        <w:t>46</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"_Toc256000064" </w:instrText>
      </w:r>
      <w:r>
        <w:fldChar w:fldCharType="separate"/>
      </w:r>
      <w:r>
        <w:rPr>
          <w:rStyle w:val="11"/>
          <w:rFonts w:ascii="仿宋_GB2312" w:hAnsi="仿宋_GB2312" w:eastAsia="仿宋_GB2312" w:cs="仿宋_GB2312"/>
        </w:rPr>
        <w:t>6.2项目风险识别与评估</w:t>
      </w:r>
      <w:r>
        <w:tab/>
      </w:r>
      <w:r>
        <w:fldChar w:fldCharType="begin"/>
      </w:r>
      <w:r>
        <w:instrText xml:space="preserve"> PAGEREF _Toc256000064 \h </w:instrText>
      </w:r>
      <w:r>
        <w:fldChar w:fldCharType="separate"/>
      </w:r>
      <w:r>
        <w:t>46</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"_Toc256000065" </w:instrText>
      </w:r>
      <w:r>
        <w:fldChar w:fldCharType="separate"/>
      </w:r>
      <w:r>
        <w:rPr>
          <w:rStyle w:val="11"/>
          <w:rFonts w:ascii="仿宋_GB2312" w:hAnsi="仿宋_GB2312" w:eastAsia="仿宋_GB2312" w:cs="仿宋_GB2312"/>
        </w:rPr>
        <w:t>6.3项目风险应对与处置</w:t>
      </w:r>
      <w:r>
        <w:tab/>
      </w:r>
      <w:r>
        <w:fldChar w:fldCharType="begin"/>
      </w:r>
      <w:r>
        <w:instrText xml:space="preserve"> PAGEREF _Toc256000065 \h </w:instrText>
      </w:r>
      <w:r>
        <w:fldChar w:fldCharType="separate"/>
      </w:r>
      <w:r>
        <w:t>46</w:t>
      </w:r>
      <w:r>
        <w:fldChar w:fldCharType="end"/>
      </w:r>
      <w:r>
        <w:fldChar w:fldCharType="end"/>
      </w:r>
    </w:p>
    <w:p>
      <w:pPr>
        <w:pStyle w:val="7"/>
        <w:tabs>
          <w:tab w:val="right" w:leader="dot" w:pos="9016"/>
        </w:tabs>
        <w:spacing w:before="0" w:after="0" w:line="360" w:lineRule="auto"/>
        <w:rPr>
          <w:rFonts w:asciiTheme="minorHAnsi" w:hAnsiTheme="minorHAnsi"/>
          <w:sz w:val="22"/>
        </w:rPr>
      </w:pPr>
      <w:r>
        <w:fldChar w:fldCharType="begin"/>
      </w:r>
      <w:r>
        <w:instrText xml:space="preserve"> HYPERLINK \l "_Toc256000066" </w:instrText>
      </w:r>
      <w:r>
        <w:fldChar w:fldCharType="separate"/>
      </w:r>
      <w:r>
        <w:rPr>
          <w:rStyle w:val="11"/>
          <w:rFonts w:ascii="仿宋_GB2312" w:hAnsi="仿宋_GB2312" w:eastAsia="仿宋_GB2312" w:cs="仿宋_GB2312"/>
          <w:kern w:val="36"/>
        </w:rPr>
        <w:t>7履约验收要求</w:t>
      </w:r>
      <w:r>
        <w:tab/>
      </w:r>
      <w:r>
        <w:fldChar w:fldCharType="begin"/>
      </w:r>
      <w:r>
        <w:instrText xml:space="preserve"> PAGEREF _Toc256000066 \h </w:instrText>
      </w:r>
      <w:r>
        <w:fldChar w:fldCharType="separate"/>
      </w:r>
      <w:r>
        <w:t>46</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"_Toc256000067" </w:instrText>
      </w:r>
      <w:r>
        <w:fldChar w:fldCharType="separate"/>
      </w:r>
      <w:r>
        <w:rPr>
          <w:rStyle w:val="11"/>
          <w:rFonts w:ascii="仿宋_GB2312" w:hAnsi="仿宋_GB2312" w:eastAsia="仿宋_GB2312" w:cs="仿宋_GB2312"/>
        </w:rPr>
        <w:t>7.1总体要求</w:t>
      </w:r>
      <w:r>
        <w:tab/>
      </w:r>
      <w:r>
        <w:fldChar w:fldCharType="begin"/>
      </w:r>
      <w:r>
        <w:instrText xml:space="preserve"> PAGEREF _Toc256000067 \h </w:instrText>
      </w:r>
      <w:r>
        <w:fldChar w:fldCharType="separate"/>
      </w:r>
      <w:r>
        <w:t>46</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"_Toc256000068" </w:instrText>
      </w:r>
      <w:r>
        <w:fldChar w:fldCharType="separate"/>
      </w:r>
      <w:r>
        <w:rPr>
          <w:rStyle w:val="11"/>
          <w:rFonts w:ascii="仿宋_GB2312" w:hAnsi="仿宋_GB2312" w:eastAsia="仿宋_GB2312" w:cs="仿宋_GB2312"/>
        </w:rPr>
        <w:t>7.2具体要求</w:t>
      </w:r>
      <w:r>
        <w:tab/>
      </w:r>
      <w:r>
        <w:fldChar w:fldCharType="begin"/>
      </w:r>
      <w:r>
        <w:instrText xml:space="preserve"> PAGEREF _Toc256000068 \h </w:instrText>
      </w:r>
      <w:r>
        <w:fldChar w:fldCharType="separate"/>
      </w:r>
      <w:r>
        <w:t>47</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"_Toc256000069" </w:instrText>
      </w:r>
      <w:r>
        <w:fldChar w:fldCharType="separate"/>
      </w:r>
      <w:r>
        <w:rPr>
          <w:rStyle w:val="11"/>
          <w:rFonts w:ascii="仿宋_GB2312" w:hAnsi="仿宋_GB2312" w:eastAsia="仿宋_GB2312" w:cs="仿宋_GB2312"/>
        </w:rPr>
        <w:t>7.3违约责任</w:t>
      </w:r>
      <w:r>
        <w:tab/>
      </w:r>
      <w:r>
        <w:fldChar w:fldCharType="begin"/>
      </w:r>
      <w:r>
        <w:instrText xml:space="preserve"> PAGEREF _Toc256000069 \h </w:instrText>
      </w:r>
      <w:r>
        <w:fldChar w:fldCharType="separate"/>
      </w:r>
      <w:r>
        <w:t>47</w:t>
      </w:r>
      <w:r>
        <w:fldChar w:fldCharType="end"/>
      </w:r>
      <w:r>
        <w:fldChar w:fldCharType="end"/>
      </w:r>
    </w:p>
    <w:p>
      <w:pPr>
        <w:pStyle w:val="7"/>
        <w:tabs>
          <w:tab w:val="right" w:leader="dot" w:pos="9016"/>
        </w:tabs>
        <w:spacing w:before="0" w:after="0" w:line="360" w:lineRule="auto"/>
        <w:rPr>
          <w:rFonts w:asciiTheme="minorHAnsi" w:hAnsiTheme="minorHAnsi"/>
          <w:sz w:val="22"/>
        </w:rPr>
      </w:pPr>
      <w:r>
        <w:fldChar w:fldCharType="begin"/>
      </w:r>
      <w:r>
        <w:instrText xml:space="preserve"> HYPERLINK \l "_Toc256000070" </w:instrText>
      </w:r>
      <w:r>
        <w:fldChar w:fldCharType="separate"/>
      </w:r>
      <w:r>
        <w:rPr>
          <w:rStyle w:val="11"/>
          <w:rFonts w:ascii="仿宋_GB2312" w:hAnsi="仿宋_GB2312" w:eastAsia="仿宋_GB2312" w:cs="仿宋_GB2312"/>
          <w:kern w:val="36"/>
        </w:rPr>
        <w:t>8其他要求</w:t>
      </w:r>
      <w:r>
        <w:tab/>
      </w:r>
      <w:r>
        <w:fldChar w:fldCharType="begin"/>
      </w:r>
      <w:r>
        <w:instrText xml:space="preserve"> PAGEREF _Toc256000070 \h </w:instrText>
      </w:r>
      <w:r>
        <w:fldChar w:fldCharType="separate"/>
      </w:r>
      <w:r>
        <w:t>48</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"_Toc256000071" </w:instrText>
      </w:r>
      <w:r>
        <w:fldChar w:fldCharType="separate"/>
      </w:r>
      <w:r>
        <w:rPr>
          <w:rStyle w:val="11"/>
          <w:rFonts w:ascii="仿宋_GB2312" w:hAnsi="仿宋_GB2312" w:eastAsia="仿宋_GB2312" w:cs="仿宋_GB2312"/>
        </w:rPr>
        <w:t>8.1必备要求</w:t>
      </w:r>
      <w:r>
        <w:tab/>
      </w:r>
      <w:r>
        <w:fldChar w:fldCharType="begin"/>
      </w:r>
      <w:r>
        <w:instrText xml:space="preserve"> PAGEREF _Toc256000071 \h </w:instrText>
      </w:r>
      <w:r>
        <w:fldChar w:fldCharType="separate"/>
      </w:r>
      <w:r>
        <w:t>48</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"_Toc256000072" </w:instrText>
      </w:r>
      <w:r>
        <w:fldChar w:fldCharType="separate"/>
      </w:r>
      <w:r>
        <w:rPr>
          <w:rStyle w:val="11"/>
          <w:rFonts w:ascii="仿宋_GB2312" w:hAnsi="仿宋_GB2312" w:eastAsia="仿宋_GB2312" w:cs="仿宋_GB2312"/>
        </w:rPr>
        <w:t>8.1.1通用必备要求</w:t>
      </w:r>
      <w:r>
        <w:tab/>
      </w:r>
      <w:r>
        <w:fldChar w:fldCharType="begin"/>
      </w:r>
      <w:r>
        <w:instrText xml:space="preserve"> PAGEREF _Toc256000072 \h </w:instrText>
      </w:r>
      <w:r>
        <w:fldChar w:fldCharType="separate"/>
      </w:r>
      <w:r>
        <w:t>48</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"_Toc256000073" </w:instrText>
      </w:r>
      <w:r>
        <w:fldChar w:fldCharType="separate"/>
      </w:r>
      <w:r>
        <w:rPr>
          <w:rStyle w:val="11"/>
          <w:rFonts w:ascii="仿宋_GB2312" w:hAnsi="仿宋_GB2312" w:eastAsia="仿宋_GB2312" w:cs="仿宋_GB2312"/>
        </w:rPr>
        <w:t>8.1.2服务管理和供应链安全</w:t>
      </w:r>
      <w:r>
        <w:tab/>
      </w:r>
      <w:r>
        <w:fldChar w:fldCharType="begin"/>
      </w:r>
      <w:r>
        <w:instrText xml:space="preserve"> PAGEREF _Toc256000073 \h </w:instrText>
      </w:r>
      <w:r>
        <w:fldChar w:fldCharType="separate"/>
      </w:r>
      <w:r>
        <w:t>49</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"_Toc256000074" </w:instrText>
      </w:r>
      <w:r>
        <w:fldChar w:fldCharType="separate"/>
      </w:r>
      <w:r>
        <w:rPr>
          <w:rStyle w:val="11"/>
          <w:rFonts w:ascii="仿宋_GB2312" w:hAnsi="仿宋_GB2312" w:eastAsia="仿宋_GB2312" w:cs="仿宋_GB2312"/>
        </w:rPr>
        <w:t>8.1.3绿色数据中心要求</w:t>
      </w:r>
      <w:r>
        <w:tab/>
      </w:r>
      <w:r>
        <w:fldChar w:fldCharType="begin"/>
      </w:r>
      <w:r>
        <w:instrText xml:space="preserve"> PAGEREF _Toc256000074 \h </w:instrText>
      </w:r>
      <w:r>
        <w:fldChar w:fldCharType="separate"/>
      </w:r>
      <w:r>
        <w:t>49</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"_Toc256000075" </w:instrText>
      </w:r>
      <w:r>
        <w:fldChar w:fldCharType="separate"/>
      </w:r>
      <w:r>
        <w:rPr>
          <w:rStyle w:val="11"/>
          <w:rFonts w:ascii="仿宋_GB2312" w:hAnsi="仿宋_GB2312" w:eastAsia="仿宋_GB2312" w:cs="仿宋_GB2312"/>
        </w:rPr>
        <w:t>8.1.4税收信息化项目开发和应用管理工作要求</w:t>
      </w:r>
      <w:r>
        <w:tab/>
      </w:r>
      <w:r>
        <w:fldChar w:fldCharType="begin"/>
      </w:r>
      <w:r>
        <w:instrText xml:space="preserve"> PAGEREF _Toc256000075 \h </w:instrText>
      </w:r>
      <w:r>
        <w:fldChar w:fldCharType="separate"/>
      </w:r>
      <w:r>
        <w:t>49</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"_Toc256000076" </w:instrText>
      </w:r>
      <w:r>
        <w:fldChar w:fldCharType="separate"/>
      </w:r>
      <w:r>
        <w:rPr>
          <w:rStyle w:val="11"/>
          <w:rFonts w:ascii="仿宋_GB2312" w:hAnsi="仿宋_GB2312" w:eastAsia="仿宋_GB2312" w:cs="仿宋_GB2312"/>
        </w:rPr>
        <w:t>8.1.5设置网络安全负责人</w:t>
      </w:r>
      <w:r>
        <w:tab/>
      </w:r>
      <w:r>
        <w:fldChar w:fldCharType="begin"/>
      </w:r>
      <w:r>
        <w:instrText xml:space="preserve"> PAGEREF _Toc256000076 \h </w:instrText>
      </w:r>
      <w:r>
        <w:fldChar w:fldCharType="separate"/>
      </w:r>
      <w:r>
        <w:t>50</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"_Toc256000077" </w:instrText>
      </w:r>
      <w:r>
        <w:fldChar w:fldCharType="separate"/>
      </w:r>
      <w:r>
        <w:rPr>
          <w:rStyle w:val="11"/>
          <w:rFonts w:ascii="仿宋_GB2312" w:hAnsi="仿宋_GB2312" w:eastAsia="仿宋_GB2312" w:cs="仿宋_GB2312"/>
        </w:rPr>
        <w:t>8.1.6加强安全意识和技能考核</w:t>
      </w:r>
      <w:r>
        <w:tab/>
      </w:r>
      <w:r>
        <w:fldChar w:fldCharType="begin"/>
      </w:r>
      <w:r>
        <w:instrText xml:space="preserve"> PAGEREF _Toc256000077 \h </w:instrText>
      </w:r>
      <w:r>
        <w:fldChar w:fldCharType="separate"/>
      </w:r>
      <w:r>
        <w:t>50</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"_Toc256000078" </w:instrText>
      </w:r>
      <w:r>
        <w:fldChar w:fldCharType="separate"/>
      </w:r>
      <w:r>
        <w:rPr>
          <w:rStyle w:val="11"/>
          <w:rFonts w:ascii="仿宋_GB2312" w:hAnsi="仿宋_GB2312" w:eastAsia="仿宋_GB2312" w:cs="仿宋_GB2312"/>
        </w:rPr>
        <w:t>8.1.7及时报告相关重大事项</w:t>
      </w:r>
      <w:r>
        <w:tab/>
      </w:r>
      <w:r>
        <w:fldChar w:fldCharType="begin"/>
      </w:r>
      <w:r>
        <w:instrText xml:space="preserve"> PAGEREF _Toc256000078 \h </w:instrText>
      </w:r>
      <w:r>
        <w:fldChar w:fldCharType="separate"/>
      </w:r>
      <w:r>
        <w:t>50</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"_Toc256000079" </w:instrText>
      </w:r>
      <w:r>
        <w:fldChar w:fldCharType="separate"/>
      </w:r>
      <w:r>
        <w:rPr>
          <w:rStyle w:val="11"/>
          <w:rFonts w:ascii="仿宋_GB2312" w:hAnsi="仿宋_GB2312" w:eastAsia="仿宋_GB2312" w:cs="仿宋_GB2312"/>
        </w:rPr>
        <w:t>8.2付款安排建议</w:t>
      </w:r>
      <w:r>
        <w:tab/>
      </w:r>
      <w:r>
        <w:fldChar w:fldCharType="begin"/>
      </w:r>
      <w:r>
        <w:instrText xml:space="preserve"> PAGEREF _Toc256000079 \h </w:instrText>
      </w:r>
      <w:r>
        <w:fldChar w:fldCharType="separate"/>
      </w:r>
      <w:r>
        <w:t>50</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"_Toc256000080" </w:instrText>
      </w:r>
      <w:r>
        <w:fldChar w:fldCharType="separate"/>
      </w:r>
      <w:r>
        <w:rPr>
          <w:rStyle w:val="11"/>
          <w:rFonts w:ascii="仿宋_GB2312" w:hAnsi="仿宋_GB2312" w:eastAsia="仿宋_GB2312" w:cs="仿宋_GB2312"/>
        </w:rPr>
        <w:t>8.2.1监理要求</w:t>
      </w:r>
      <w:r>
        <w:tab/>
      </w:r>
      <w:r>
        <w:fldChar w:fldCharType="begin"/>
      </w:r>
      <w:r>
        <w:instrText xml:space="preserve"> PAGEREF _Toc256000080 \h </w:instrText>
      </w:r>
      <w:r>
        <w:fldChar w:fldCharType="separate"/>
      </w:r>
      <w:r>
        <w:t>50</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"_Toc256000081" </w:instrText>
      </w:r>
      <w:r>
        <w:fldChar w:fldCharType="separate"/>
      </w:r>
      <w:r>
        <w:rPr>
          <w:rStyle w:val="11"/>
          <w:rFonts w:ascii="仿宋_GB2312" w:hAnsi="仿宋_GB2312" w:eastAsia="仿宋_GB2312" w:cs="仿宋_GB2312"/>
        </w:rPr>
        <w:t>8.3其他要求</w:t>
      </w:r>
      <w:r>
        <w:tab/>
      </w:r>
      <w:r>
        <w:fldChar w:fldCharType="begin"/>
      </w:r>
      <w:r>
        <w:instrText xml:space="preserve"> PAGEREF _Toc256000081 \h </w:instrText>
      </w:r>
      <w:r>
        <w:fldChar w:fldCharType="separate"/>
      </w:r>
      <w:r>
        <w:t>50</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"_Toc256000082" </w:instrText>
      </w:r>
      <w:r>
        <w:fldChar w:fldCharType="separate"/>
      </w:r>
      <w:r>
        <w:rPr>
          <w:rStyle w:val="11"/>
          <w:rFonts w:ascii="仿宋_GB2312" w:hAnsi="仿宋_GB2312" w:eastAsia="仿宋_GB2312" w:cs="仿宋_GB2312"/>
        </w:rPr>
        <w:t>8.3.1保密要求</w:t>
      </w:r>
      <w:r>
        <w:tab/>
      </w:r>
      <w:r>
        <w:fldChar w:fldCharType="begin"/>
      </w:r>
      <w:r>
        <w:instrText xml:space="preserve"> PAGEREF _Toc256000082 \h </w:instrText>
      </w:r>
      <w:r>
        <w:fldChar w:fldCharType="separate"/>
      </w:r>
      <w:r>
        <w:t>50</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"_Toc256000083" </w:instrText>
      </w:r>
      <w:r>
        <w:fldChar w:fldCharType="separate"/>
      </w:r>
      <w:r>
        <w:rPr>
          <w:rStyle w:val="11"/>
          <w:rFonts w:ascii="仿宋_GB2312" w:hAnsi="仿宋_GB2312" w:eastAsia="仿宋_GB2312" w:cs="仿宋_GB2312"/>
        </w:rPr>
        <w:t>8.3.2报价要求</w:t>
      </w:r>
      <w:r>
        <w:tab/>
      </w:r>
      <w:r>
        <w:fldChar w:fldCharType="begin"/>
      </w:r>
      <w:r>
        <w:instrText xml:space="preserve"> PAGEREF _Toc256000083 \h </w:instrText>
      </w:r>
      <w:r>
        <w:fldChar w:fldCharType="separate"/>
      </w:r>
      <w:r>
        <w:t>51</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"_Toc256000084" </w:instrText>
      </w:r>
      <w:r>
        <w:fldChar w:fldCharType="separate"/>
      </w:r>
      <w:r>
        <w:rPr>
          <w:rStyle w:val="11"/>
          <w:rFonts w:ascii="仿宋_GB2312" w:hAnsi="仿宋_GB2312" w:eastAsia="仿宋_GB2312" w:cs="仿宋_GB2312"/>
        </w:rPr>
        <w:t>8.3.3廉政相关要求</w:t>
      </w:r>
      <w:r>
        <w:tab/>
      </w:r>
      <w:r>
        <w:fldChar w:fldCharType="begin"/>
      </w:r>
      <w:r>
        <w:instrText xml:space="preserve"> PAGEREF _Toc256000084 \h </w:instrText>
      </w:r>
      <w:r>
        <w:fldChar w:fldCharType="separate"/>
      </w:r>
      <w:r>
        <w:t>51</w:t>
      </w:r>
      <w:r>
        <w:fldChar w:fldCharType="end"/>
      </w:r>
      <w:r>
        <w:fldChar w:fldCharType="end"/>
      </w:r>
    </w:p>
    <w:p>
      <w:pPr>
        <w:pStyle w:val="7"/>
        <w:tabs>
          <w:tab w:val="right" w:leader="dot" w:pos="9016"/>
        </w:tabs>
        <w:spacing w:before="0" w:after="0" w:line="360" w:lineRule="auto"/>
        <w:rPr>
          <w:rFonts w:asciiTheme="minorHAnsi" w:hAnsiTheme="minorHAnsi"/>
          <w:sz w:val="22"/>
        </w:rPr>
      </w:pPr>
      <w:r>
        <w:fldChar w:fldCharType="begin"/>
      </w:r>
      <w:r>
        <w:instrText xml:space="preserve"> HYPERLINK \l "_Toc256000085" </w:instrText>
      </w:r>
      <w:r>
        <w:fldChar w:fldCharType="separate"/>
      </w:r>
      <w:r>
        <w:rPr>
          <w:rStyle w:val="11"/>
          <w:rFonts w:ascii="仿宋_GB2312" w:hAnsi="仿宋_GB2312" w:eastAsia="仿宋_GB2312" w:cs="仿宋_GB2312"/>
          <w:kern w:val="36"/>
        </w:rPr>
        <w:t>附件1 税务信息化服务商廉洁承诺书</w:t>
      </w:r>
      <w:r>
        <w:tab/>
      </w:r>
      <w:r>
        <w:fldChar w:fldCharType="begin"/>
      </w:r>
      <w:r>
        <w:instrText xml:space="preserve"> PAGEREF _Toc256000085 \h </w:instrText>
      </w:r>
      <w:r>
        <w:fldChar w:fldCharType="separate"/>
      </w:r>
      <w:r>
        <w:t>53</w:t>
      </w:r>
      <w:r>
        <w:fldChar w:fldCharType="end"/>
      </w:r>
      <w:r>
        <w:fldChar w:fldCharType="end"/>
      </w:r>
    </w:p>
    <w:p>
      <w:pPr>
        <w:pStyle w:val="7"/>
        <w:tabs>
          <w:tab w:val="right" w:leader="dot" w:pos="9016"/>
        </w:tabs>
        <w:spacing w:before="0" w:after="0" w:line="360" w:lineRule="auto"/>
        <w:rPr>
          <w:rFonts w:asciiTheme="minorHAnsi" w:hAnsiTheme="minorHAnsi"/>
          <w:sz w:val="22"/>
        </w:rPr>
      </w:pPr>
      <w:r>
        <w:fldChar w:fldCharType="begin"/>
      </w:r>
      <w:r>
        <w:instrText xml:space="preserve"> HYPERLINK \l "_Toc256000086" </w:instrText>
      </w:r>
      <w:r>
        <w:fldChar w:fldCharType="separate"/>
      </w:r>
      <w:r>
        <w:rPr>
          <w:rStyle w:val="11"/>
          <w:rFonts w:ascii="仿宋_GB2312" w:hAnsi="仿宋_GB2312" w:eastAsia="仿宋_GB2312" w:cs="仿宋_GB2312"/>
          <w:kern w:val="36"/>
        </w:rPr>
        <w:t>附件2税务信息化廉政情况反馈书</w:t>
      </w:r>
      <w:r>
        <w:tab/>
      </w:r>
      <w:r>
        <w:fldChar w:fldCharType="begin"/>
      </w:r>
      <w:r>
        <w:instrText xml:space="preserve"> PAGEREF _Toc256000086 \h </w:instrText>
      </w:r>
      <w:r>
        <w:fldChar w:fldCharType="separate"/>
      </w:r>
      <w:r>
        <w:t>55</w:t>
      </w:r>
      <w:r>
        <w:fldChar w:fldCharType="end"/>
      </w:r>
      <w:r>
        <w:fldChar w:fldCharType="end"/>
      </w:r>
    </w:p>
    <w:p>
      <w:pPr>
        <w:pStyle w:val="7"/>
        <w:tabs>
          <w:tab w:val="right" w:leader="dot" w:pos="9016"/>
        </w:tabs>
        <w:spacing w:before="0" w:after="0" w:line="360" w:lineRule="auto"/>
        <w:rPr>
          <w:rFonts w:asciiTheme="minorHAnsi" w:hAnsiTheme="minorHAnsi"/>
          <w:sz w:val="22"/>
        </w:rPr>
      </w:pPr>
    </w:p>
    <w:p>
      <w:pPr>
        <w:spacing w:before="0" w:after="0" w:line="360" w:lineRule="auto"/>
        <w:jc w:val="left"/>
      </w:pPr>
      <w:r>
        <w:rPr>
          <w:rFonts w:ascii="宋体" w:hAnsi="宋体" w:eastAsia="宋体" w:cs="宋体"/>
          <w:sz w:val="32"/>
        </w:rPr>
        <w:fldChar w:fldCharType="end"/>
      </w:r>
      <w:r>
        <w:br w:type="page"/>
      </w:r>
    </w:p>
    <w:p>
      <w:pPr>
        <w:pStyle w:val="2"/>
        <w:keepNext w:val="0"/>
        <w:spacing w:before="0" w:after="0" w:line="360" w:lineRule="auto"/>
        <w:jc w:val="center"/>
        <w:rPr>
          <w:rFonts w:ascii="仿宋_GB2312" w:hAnsi="仿宋_GB2312" w:eastAsia="仿宋_GB2312" w:cs="仿宋_GB2312"/>
          <w:b/>
          <w:bCs/>
          <w:sz w:val="32"/>
          <w:szCs w:val="32"/>
        </w:rPr>
      </w:pPr>
      <w:bookmarkStart w:id="2" w:name="_Toc256000000"/>
      <w:r>
        <w:rPr>
          <w:rFonts w:ascii="仿宋_GB2312" w:hAnsi="仿宋_GB2312" w:eastAsia="仿宋_GB2312" w:cs="仿宋_GB2312"/>
          <w:kern w:val="36"/>
        </w:rPr>
        <w:t>1项目概述</w:t>
      </w:r>
      <w:bookmarkEnd w:id="2"/>
    </w:p>
    <w:p>
      <w:pPr>
        <w:pStyle w:val="3"/>
        <w:keepNext w:val="0"/>
        <w:spacing w:before="0" w:after="0" w:line="360" w:lineRule="auto"/>
        <w:rPr>
          <w:rFonts w:ascii="仿宋_GB2312" w:hAnsi="仿宋_GB2312" w:eastAsia="仿宋_GB2312" w:cs="仿宋_GB2312"/>
          <w:b/>
          <w:bCs/>
          <w:sz w:val="28"/>
          <w:szCs w:val="28"/>
        </w:rPr>
      </w:pPr>
      <w:bookmarkStart w:id="3" w:name="_Toc256000001"/>
      <w:r>
        <w:rPr>
          <w:rFonts w:ascii="仿宋_GB2312" w:hAnsi="仿宋_GB2312" w:eastAsia="仿宋_GB2312" w:cs="仿宋_GB2312"/>
          <w:i w:val="0"/>
          <w:iCs w:val="0"/>
        </w:rPr>
        <w:t>1.1项目背景</w:t>
      </w:r>
      <w:bookmarkEnd w:id="3"/>
    </w:p>
    <w:p>
      <w:pPr>
        <w:pStyle w:val="4"/>
        <w:keepNext w:val="0"/>
        <w:spacing w:before="0" w:after="0" w:line="360" w:lineRule="auto"/>
        <w:rPr>
          <w:rFonts w:ascii="仿宋_GB2312" w:hAnsi="仿宋_GB2312" w:eastAsia="仿宋_GB2312" w:cs="仿宋_GB2312"/>
          <w:b/>
          <w:bCs/>
          <w:sz w:val="28"/>
          <w:szCs w:val="28"/>
        </w:rPr>
      </w:pPr>
      <w:bookmarkStart w:id="4" w:name="_Toc256000002"/>
      <w:r>
        <w:rPr>
          <w:rFonts w:ascii="仿宋_GB2312" w:hAnsi="仿宋_GB2312" w:eastAsia="仿宋_GB2312" w:cs="仿宋_GB2312"/>
          <w:sz w:val="28"/>
          <w:szCs w:val="28"/>
        </w:rPr>
        <w:t>1.1.1项目目的、意义及背景</w:t>
      </w:r>
      <w:bookmarkEnd w:id="4"/>
    </w:p>
    <w:p>
      <w:pPr>
        <w:pStyle w:val="12"/>
        <w:spacing w:before="0" w:after="0" w:line="360" w:lineRule="auto"/>
        <w:ind w:left="0" w:right="0" w:firstLine="560"/>
        <w:jc w:val="both"/>
      </w:pPr>
      <w:r>
        <w:rPr>
          <w:rFonts w:ascii="方正仿宋_GB2312" w:hAnsi="方正仿宋_GB2312" w:eastAsia="方正仿宋_GB2312" w:cs="方正仿宋_GB2312"/>
          <w:sz w:val="28"/>
          <w:szCs w:val="28"/>
        </w:rPr>
        <w:t>为了贯彻落实国家税务总局关于金税四期建设的工作部署，2024年，国家税务总局内蒙古自治区税务局在本地数据中心建设了金税云平台，陆续推广上线了全国统一规范电子税务局、税务人端慧办平台等金税四期应用。金税云平台基础算力资源为ARM架构的服务器和网络设备，云平台软件采用腾讯TCE云产品部署。按照金税四期建设要求，国家税务总局内蒙古自治区税务局计划在内蒙古金税云平台上部署电子发票服务平台、统一身份管理平台、应用支撑平台、征纳互动平台、多云运维管理平台等金税四期应用（以下简称“电子发票服务平台等金税四期应用系统”），部署完成后将税务总局云平台部署的内蒙古金税四期应用数据迁回本地。为此，内蒙古自治区税务局拟采购“内蒙古税务2025年全面数字化的电子发票改革相关信息化基础平台建设-云平台建设”项目，购买服务器、网络设备，扩容金税云平台算力资源，并配套相关安全设备和精密空调，为电子发票服务平台等金税四期应用本地化部署提供算力资源及基础环境，保障金税四期相关应用系统安全顺畅上线运行。</w:t>
      </w:r>
    </w:p>
    <w:p>
      <w:pPr>
        <w:pStyle w:val="3"/>
        <w:keepNext w:val="0"/>
        <w:spacing w:before="0" w:after="0" w:line="360" w:lineRule="auto"/>
        <w:rPr>
          <w:rFonts w:ascii="仿宋_GB2312" w:hAnsi="仿宋_GB2312" w:eastAsia="仿宋_GB2312" w:cs="仿宋_GB2312"/>
          <w:b/>
          <w:bCs/>
          <w:sz w:val="28"/>
          <w:szCs w:val="28"/>
        </w:rPr>
      </w:pPr>
      <w:bookmarkStart w:id="5" w:name="_Toc256000003"/>
      <w:r>
        <w:rPr>
          <w:rFonts w:ascii="仿宋_GB2312" w:hAnsi="仿宋_GB2312" w:eastAsia="仿宋_GB2312" w:cs="仿宋_GB2312"/>
          <w:i w:val="0"/>
          <w:iCs w:val="0"/>
        </w:rPr>
        <w:t>1.2项目内容</w:t>
      </w:r>
      <w:bookmarkEnd w:id="5"/>
    </w:p>
    <w:p>
      <w:pPr>
        <w:pStyle w:val="4"/>
        <w:keepNext w:val="0"/>
        <w:spacing w:before="0" w:after="0" w:line="360" w:lineRule="auto"/>
        <w:rPr>
          <w:rFonts w:ascii="仿宋_GB2312" w:hAnsi="仿宋_GB2312" w:eastAsia="仿宋_GB2312" w:cs="仿宋_GB2312"/>
          <w:b/>
          <w:bCs/>
          <w:sz w:val="28"/>
          <w:szCs w:val="28"/>
        </w:rPr>
      </w:pPr>
      <w:bookmarkStart w:id="6" w:name="_Toc256000004"/>
      <w:r>
        <w:rPr>
          <w:rFonts w:ascii="仿宋_GB2312" w:hAnsi="仿宋_GB2312" w:eastAsia="仿宋_GB2312" w:cs="仿宋_GB2312"/>
          <w:sz w:val="28"/>
          <w:szCs w:val="28"/>
        </w:rPr>
        <w:t>1.2.1项目建设思路</w:t>
      </w:r>
      <w:bookmarkEnd w:id="6"/>
    </w:p>
    <w:p>
      <w:pPr>
        <w:pStyle w:val="12"/>
        <w:spacing w:before="0" w:after="0" w:line="360" w:lineRule="auto"/>
        <w:ind w:left="0" w:right="0" w:firstLine="560"/>
      </w:pPr>
      <w:r>
        <w:rPr>
          <w:rFonts w:ascii="方正仿宋_GB2312" w:hAnsi="方正仿宋_GB2312" w:eastAsia="方正仿宋_GB2312" w:cs="方正仿宋_GB2312"/>
          <w:sz w:val="28"/>
          <w:szCs w:val="28"/>
        </w:rPr>
        <w:t>按照项目建设要求，需采购服务器等硬件设备，在内蒙古自治区税务局完成服务器等硬件设备的到货、安装部署、硬件集成、联调测试、试运行、上线等工作，为部署电子发票服务平台等金税四期应用部署提供算力资源及基础环境，保障金税四期相关应用系统安全顺畅上线运行。</w:t>
      </w:r>
    </w:p>
    <w:p>
      <w:pPr>
        <w:pStyle w:val="4"/>
        <w:keepNext w:val="0"/>
        <w:spacing w:before="0" w:after="0" w:line="360" w:lineRule="auto"/>
        <w:rPr>
          <w:rFonts w:ascii="仿宋_GB2312" w:hAnsi="仿宋_GB2312" w:eastAsia="仿宋_GB2312" w:cs="仿宋_GB2312"/>
          <w:b/>
          <w:bCs/>
          <w:sz w:val="28"/>
          <w:szCs w:val="28"/>
        </w:rPr>
      </w:pPr>
      <w:bookmarkStart w:id="7" w:name="_Toc256000005"/>
      <w:r>
        <w:rPr>
          <w:rFonts w:ascii="仿宋_GB2312" w:hAnsi="仿宋_GB2312" w:eastAsia="仿宋_GB2312" w:cs="仿宋_GB2312"/>
          <w:sz w:val="28"/>
          <w:szCs w:val="28"/>
        </w:rPr>
        <w:t>1.2.2采购内容</w:t>
      </w:r>
      <w:bookmarkEnd w:id="7"/>
    </w:p>
    <w:p>
      <w:pPr>
        <w:pStyle w:val="12"/>
        <w:spacing w:before="0" w:after="0" w:line="360" w:lineRule="auto"/>
        <w:ind w:left="0" w:right="0" w:firstLine="560"/>
      </w:pPr>
      <w:r>
        <w:rPr>
          <w:rFonts w:ascii="方正仿宋_GB2312" w:hAnsi="方正仿宋_GB2312" w:eastAsia="方正仿宋_GB2312" w:cs="方正仿宋_GB2312"/>
          <w:sz w:val="28"/>
          <w:szCs w:val="28"/>
        </w:rPr>
        <w:t>本项目采购内容如下：</w:t>
      </w:r>
    </w:p>
    <w:p>
      <w:pPr>
        <w:pStyle w:val="12"/>
        <w:spacing w:before="0" w:after="0" w:line="360" w:lineRule="auto"/>
        <w:ind w:left="0" w:right="0" w:firstLine="560"/>
      </w:pPr>
      <w:r>
        <w:rPr>
          <w:rFonts w:ascii="方正仿宋_GB2312" w:hAnsi="方正仿宋_GB2312" w:eastAsia="方正仿宋_GB2312" w:cs="方正仿宋_GB2312"/>
          <w:b/>
          <w:bCs/>
          <w:sz w:val="28"/>
          <w:szCs w:val="28"/>
        </w:rPr>
        <w:t>1.2.2.1服务器设备需求。</w:t>
      </w:r>
    </w:p>
    <w:p>
      <w:pPr>
        <w:pStyle w:val="12"/>
        <w:spacing w:before="0" w:after="0" w:line="360" w:lineRule="auto"/>
        <w:ind w:left="0" w:right="0" w:firstLine="560"/>
      </w:pPr>
      <w:r>
        <w:rPr>
          <w:rFonts w:ascii="方正仿宋_GB2312" w:hAnsi="方正仿宋_GB2312" w:eastAsia="方正仿宋_GB2312" w:cs="方正仿宋_GB2312"/>
          <w:sz w:val="28"/>
          <w:szCs w:val="28"/>
        </w:rPr>
        <w:t>对内蒙古自治区税务局南区数据中心部署的金税云平台配置扩容服务器298台,其中：“通用计算节点1”服务器137台、“通用计算节点2”服务器14台、“通用存储节点1”服务器21台、“通用存储节点2”服务器122台、“通用存储节点3”服务器4台。其中，“通用计算节点1”用于部署应用节点的服务器，“通用计算节点2”用于部署管理节点和公共产品的服务器，“通用存储节点1”用于部署存储产品等的服务器，“通用存储节点2”用于部署数据库节点的服务器，“通用存储节点3”用于部署大数据节点的服务器。</w:t>
      </w:r>
    </w:p>
    <w:p>
      <w:pPr>
        <w:pStyle w:val="12"/>
        <w:spacing w:before="0" w:after="0" w:line="360" w:lineRule="auto"/>
        <w:ind w:left="0" w:right="0"/>
      </w:pPr>
      <w:r>
        <w:rPr>
          <w:rFonts w:ascii="方正仿宋_GB2312" w:hAnsi="方正仿宋_GB2312" w:eastAsia="方正仿宋_GB2312" w:cs="方正仿宋_GB2312"/>
          <w:b/>
          <w:bCs/>
          <w:sz w:val="28"/>
          <w:szCs w:val="28"/>
        </w:rPr>
        <w:t>    1.2.2.2网络设备需求。</w:t>
      </w:r>
    </w:p>
    <w:p>
      <w:pPr>
        <w:pStyle w:val="12"/>
        <w:spacing w:before="0" w:after="0" w:line="360" w:lineRule="auto"/>
        <w:ind w:left="0" w:right="0" w:firstLine="560"/>
      </w:pPr>
      <w:r>
        <w:rPr>
          <w:rFonts w:ascii="方正仿宋_GB2312" w:hAnsi="方正仿宋_GB2312" w:eastAsia="方正仿宋_GB2312" w:cs="方正仿宋_GB2312"/>
          <w:sz w:val="28"/>
          <w:szCs w:val="28"/>
        </w:rPr>
        <w:t>万兆接入交换机14台、千兆接入交换机7台。</w:t>
      </w:r>
    </w:p>
    <w:p>
      <w:pPr>
        <w:pStyle w:val="12"/>
        <w:spacing w:before="0" w:after="0" w:line="360" w:lineRule="auto"/>
        <w:ind w:left="0" w:right="0"/>
      </w:pPr>
      <w:r>
        <w:rPr>
          <w:rFonts w:ascii="方正仿宋_GB2312" w:hAnsi="方正仿宋_GB2312" w:eastAsia="方正仿宋_GB2312" w:cs="方正仿宋_GB2312"/>
          <w:b/>
          <w:bCs/>
          <w:sz w:val="28"/>
          <w:szCs w:val="28"/>
        </w:rPr>
        <w:t>    1.2.2.3安全设备需求</w:t>
      </w:r>
    </w:p>
    <w:p>
      <w:pPr>
        <w:pStyle w:val="12"/>
        <w:spacing w:before="0" w:after="0" w:line="360" w:lineRule="auto"/>
        <w:ind w:left="0" w:right="0" w:firstLine="560"/>
      </w:pPr>
      <w:r>
        <w:rPr>
          <w:rFonts w:ascii="方正仿宋_GB2312" w:hAnsi="方正仿宋_GB2312" w:eastAsia="方正仿宋_GB2312" w:cs="方正仿宋_GB2312"/>
          <w:sz w:val="28"/>
          <w:szCs w:val="28"/>
        </w:rPr>
        <w:t>运维安全管理设备2台、Web漏洞设备1台、入侵防御设备（IPS）2台、流量监控设备2台。</w:t>
      </w:r>
    </w:p>
    <w:p>
      <w:pPr>
        <w:pStyle w:val="12"/>
        <w:spacing w:before="0" w:after="0" w:line="360" w:lineRule="auto"/>
        <w:ind w:left="0" w:right="0"/>
      </w:pPr>
      <w:r>
        <w:rPr>
          <w:rFonts w:ascii="方正仿宋_GB2312" w:hAnsi="方正仿宋_GB2312" w:eastAsia="方正仿宋_GB2312" w:cs="方正仿宋_GB2312"/>
          <w:b/>
          <w:bCs/>
          <w:sz w:val="28"/>
          <w:szCs w:val="28"/>
        </w:rPr>
        <w:t>    1.2.2.4空调设备需求</w:t>
      </w:r>
    </w:p>
    <w:p>
      <w:pPr>
        <w:pStyle w:val="12"/>
        <w:spacing w:before="0" w:after="0" w:line="360" w:lineRule="auto"/>
        <w:ind w:left="0" w:right="0" w:firstLine="560"/>
      </w:pPr>
      <w:r>
        <w:rPr>
          <w:rFonts w:ascii="方正仿宋_GB2312" w:hAnsi="方正仿宋_GB2312" w:eastAsia="方正仿宋_GB2312" w:cs="方正仿宋_GB2312"/>
          <w:sz w:val="28"/>
          <w:szCs w:val="28"/>
        </w:rPr>
        <w:t>机房精密空调2台。</w:t>
      </w:r>
    </w:p>
    <w:p>
      <w:pPr>
        <w:pStyle w:val="12"/>
        <w:spacing w:before="0" w:after="0" w:line="360" w:lineRule="auto"/>
        <w:ind w:left="0" w:right="0"/>
      </w:pPr>
      <w:r>
        <w:rPr>
          <w:rFonts w:ascii="方正仿宋_GB2312" w:hAnsi="方正仿宋_GB2312" w:eastAsia="方正仿宋_GB2312" w:cs="方正仿宋_GB2312"/>
          <w:b/>
          <w:bCs/>
          <w:sz w:val="28"/>
          <w:szCs w:val="28"/>
        </w:rPr>
        <w:t>    1.2.2.5硬件集成实施服务。</w:t>
      </w:r>
    </w:p>
    <w:p>
      <w:pPr>
        <w:pStyle w:val="12"/>
        <w:spacing w:before="0" w:after="0" w:line="360" w:lineRule="auto"/>
        <w:ind w:left="0" w:right="0" w:firstLine="560"/>
      </w:pPr>
      <w:r>
        <w:rPr>
          <w:rFonts w:ascii="方正仿宋_GB2312" w:hAnsi="方正仿宋_GB2312" w:eastAsia="方正仿宋_GB2312" w:cs="方正仿宋_GB2312"/>
          <w:sz w:val="28"/>
          <w:szCs w:val="28"/>
        </w:rPr>
        <w:t>对本项目采购的硬件进行集成实施，主要包括集成实施规划、设备到货、安装部署、加电、配置、调试、试运行及上线等服务。负责将本项目采购的空调设备接入内蒙古自治区税务局现有数据中心动环监控平台，实现内蒙古自治区税务局信息化基础设施7×24小时统一监控。</w:t>
      </w:r>
    </w:p>
    <w:p>
      <w:pPr>
        <w:pStyle w:val="4"/>
        <w:keepNext w:val="0"/>
        <w:spacing w:before="0" w:after="0" w:line="360" w:lineRule="auto"/>
        <w:rPr>
          <w:rFonts w:ascii="仿宋_GB2312" w:hAnsi="仿宋_GB2312" w:eastAsia="仿宋_GB2312" w:cs="仿宋_GB2312"/>
          <w:b/>
          <w:bCs/>
          <w:sz w:val="28"/>
          <w:szCs w:val="28"/>
        </w:rPr>
      </w:pPr>
      <w:bookmarkStart w:id="8" w:name="_Toc256000006"/>
      <w:r>
        <w:rPr>
          <w:rFonts w:ascii="仿宋_GB2312" w:hAnsi="仿宋_GB2312" w:eastAsia="仿宋_GB2312" w:cs="仿宋_GB2312"/>
          <w:sz w:val="28"/>
          <w:szCs w:val="28"/>
        </w:rPr>
        <w:t>1.2.3项目实施要求</w:t>
      </w:r>
      <w:bookmarkEnd w:id="8"/>
    </w:p>
    <w:p>
      <w:pPr>
        <w:pStyle w:val="5"/>
        <w:keepNext w:val="0"/>
        <w:spacing w:before="0" w:after="0" w:line="360" w:lineRule="auto"/>
        <w:rPr>
          <w:rFonts w:ascii="仿宋_GB2312" w:hAnsi="仿宋_GB2312" w:eastAsia="仿宋_GB2312" w:cs="仿宋_GB2312"/>
          <w:b/>
          <w:bCs/>
          <w:sz w:val="28"/>
          <w:szCs w:val="28"/>
        </w:rPr>
      </w:pPr>
      <w:r>
        <w:rPr>
          <w:rFonts w:ascii="仿宋_GB2312" w:hAnsi="仿宋_GB2312" w:eastAsia="仿宋_GB2312" w:cs="仿宋_GB2312"/>
        </w:rPr>
        <w:t>1.2.3.1实施范围要求</w:t>
      </w:r>
    </w:p>
    <w:p>
      <w:pPr>
        <w:pStyle w:val="12"/>
        <w:spacing w:before="0" w:after="0" w:line="360" w:lineRule="auto"/>
        <w:ind w:left="0" w:right="0" w:firstLine="560"/>
      </w:pPr>
      <w:r>
        <w:rPr>
          <w:rFonts w:ascii="方正仿宋_GB2312" w:hAnsi="方正仿宋_GB2312" w:eastAsia="方正仿宋_GB2312" w:cs="方正仿宋_GB2312"/>
          <w:sz w:val="28"/>
          <w:szCs w:val="28"/>
        </w:rPr>
        <w:t>投标人按照合同要求向内蒙古税务局提供服务器等硬件设备及硬件集成服务。提供的服务器及网络设备能够完全兼容采购人已有的金税云平台，确保算力资源可以正常扩容实施。按照采购人要求完成服务器等硬件设备到货、安装部署、硬件集成、联调测试、试运行、上线等实施工作，向采购人提供服务器等硬件设备的技术支持和售后服务。在质保期内提供服务器等硬件设备的质保服务。</w:t>
      </w:r>
    </w:p>
    <w:p>
      <w:pPr>
        <w:pStyle w:val="5"/>
        <w:keepNext w:val="0"/>
        <w:spacing w:before="0" w:after="0" w:line="360" w:lineRule="auto"/>
        <w:rPr>
          <w:rFonts w:ascii="仿宋_GB2312" w:hAnsi="仿宋_GB2312" w:eastAsia="仿宋_GB2312" w:cs="仿宋_GB2312"/>
          <w:b/>
          <w:bCs/>
          <w:sz w:val="28"/>
          <w:szCs w:val="28"/>
        </w:rPr>
      </w:pPr>
      <w:r>
        <w:rPr>
          <w:rFonts w:ascii="仿宋_GB2312" w:hAnsi="仿宋_GB2312" w:eastAsia="仿宋_GB2312" w:cs="仿宋_GB2312"/>
        </w:rPr>
        <w:t>1.2.3.2实施时间要求</w:t>
      </w:r>
    </w:p>
    <w:p>
      <w:pPr>
        <w:pStyle w:val="12"/>
        <w:spacing w:before="0" w:after="0" w:line="360" w:lineRule="auto"/>
        <w:ind w:left="0" w:right="0" w:firstLine="560"/>
      </w:pPr>
      <w:r>
        <w:rPr>
          <w:rFonts w:ascii="方正仿宋_GB2312" w:hAnsi="方正仿宋_GB2312" w:eastAsia="方正仿宋_GB2312" w:cs="方正仿宋_GB2312"/>
          <w:sz w:val="28"/>
          <w:szCs w:val="28"/>
        </w:rPr>
        <w:t>服务器、网络设备和安全设备应当在合同签订后的30天内全部到货，空调设备应当在合同签订后60天内到货。硬件设备到货后应在60天内完成硬件设备集成实施工作。</w:t>
      </w:r>
    </w:p>
    <w:p>
      <w:pPr>
        <w:pStyle w:val="5"/>
        <w:keepNext w:val="0"/>
        <w:spacing w:before="0" w:after="0" w:line="360" w:lineRule="auto"/>
        <w:rPr>
          <w:rFonts w:ascii="仿宋_GB2312" w:hAnsi="仿宋_GB2312" w:eastAsia="仿宋_GB2312" w:cs="仿宋_GB2312"/>
          <w:b/>
          <w:bCs/>
          <w:sz w:val="28"/>
          <w:szCs w:val="28"/>
        </w:rPr>
      </w:pPr>
      <w:r>
        <w:rPr>
          <w:rFonts w:ascii="仿宋_GB2312" w:hAnsi="仿宋_GB2312" w:eastAsia="仿宋_GB2312" w:cs="仿宋_GB2312"/>
        </w:rPr>
        <w:t>1.2.3.3实施地点要求</w:t>
      </w:r>
    </w:p>
    <w:p>
      <w:pPr>
        <w:pStyle w:val="12"/>
        <w:spacing w:before="0" w:after="0" w:line="360" w:lineRule="auto"/>
        <w:ind w:left="0" w:right="0" w:firstLine="560"/>
      </w:pPr>
      <w:r>
        <w:rPr>
          <w:rFonts w:ascii="方正仿宋_GB2312" w:hAnsi="方正仿宋_GB2312" w:eastAsia="方正仿宋_GB2312" w:cs="方正仿宋_GB2312"/>
          <w:sz w:val="28"/>
          <w:szCs w:val="28"/>
        </w:rPr>
        <w:t>内蒙古自治区税务局南区数据中心</w:t>
      </w:r>
    </w:p>
    <w:p>
      <w:pPr>
        <w:pStyle w:val="3"/>
        <w:keepNext w:val="0"/>
        <w:spacing w:before="0" w:after="0" w:line="360" w:lineRule="auto"/>
        <w:rPr>
          <w:rFonts w:ascii="仿宋_GB2312" w:hAnsi="仿宋_GB2312" w:eastAsia="仿宋_GB2312" w:cs="仿宋_GB2312"/>
          <w:b/>
          <w:bCs/>
          <w:sz w:val="28"/>
          <w:szCs w:val="28"/>
        </w:rPr>
      </w:pPr>
      <w:bookmarkStart w:id="9" w:name="_Toc256000007"/>
      <w:r>
        <w:rPr>
          <w:rFonts w:ascii="仿宋_GB2312" w:hAnsi="仿宋_GB2312" w:eastAsia="仿宋_GB2312" w:cs="仿宋_GB2312"/>
          <w:i w:val="0"/>
          <w:iCs w:val="0"/>
        </w:rPr>
        <w:t>1.3其他要求</w:t>
      </w:r>
      <w:bookmarkEnd w:id="9"/>
    </w:p>
    <w:p>
      <w:pPr>
        <w:pStyle w:val="4"/>
        <w:keepNext w:val="0"/>
        <w:spacing w:before="0" w:after="0" w:line="360" w:lineRule="auto"/>
        <w:rPr>
          <w:rFonts w:ascii="仿宋_GB2312" w:hAnsi="仿宋_GB2312" w:eastAsia="仿宋_GB2312" w:cs="仿宋_GB2312"/>
          <w:b/>
          <w:bCs/>
          <w:sz w:val="28"/>
          <w:szCs w:val="28"/>
        </w:rPr>
      </w:pPr>
      <w:bookmarkStart w:id="10" w:name="_Toc256000008"/>
      <w:r>
        <w:rPr>
          <w:rFonts w:ascii="仿宋_GB2312" w:hAnsi="仿宋_GB2312" w:eastAsia="仿宋_GB2312" w:cs="仿宋_GB2312"/>
          <w:sz w:val="28"/>
          <w:szCs w:val="28"/>
        </w:rPr>
        <w:t>1.3.1采购标的需执行的相关标准规范</w:t>
      </w:r>
      <w:bookmarkEnd w:id="10"/>
    </w:p>
    <w:p>
      <w:pPr>
        <w:pStyle w:val="12"/>
        <w:spacing w:before="0" w:after="0" w:line="360" w:lineRule="auto"/>
        <w:ind w:left="0" w:right="0" w:firstLine="560"/>
      </w:pPr>
      <w:r>
        <w:rPr>
          <w:rFonts w:ascii="方正仿宋_GB2312" w:hAnsi="方正仿宋_GB2312" w:eastAsia="方正仿宋_GB2312" w:cs="方正仿宋_GB2312"/>
          <w:sz w:val="28"/>
          <w:szCs w:val="28"/>
        </w:rPr>
        <w:t>《国务院办公厅关于在政府采购中实施本国产品标准及相关政策的通知》（国办发〔2025〕34号）</w:t>
      </w:r>
    </w:p>
    <w:p>
      <w:pPr>
        <w:pStyle w:val="2"/>
        <w:keepNext w:val="0"/>
        <w:spacing w:before="0" w:after="0" w:line="360" w:lineRule="auto"/>
        <w:jc w:val="center"/>
        <w:rPr>
          <w:rFonts w:ascii="仿宋_GB2312" w:hAnsi="仿宋_GB2312" w:eastAsia="仿宋_GB2312" w:cs="仿宋_GB2312"/>
          <w:b/>
          <w:bCs/>
          <w:sz w:val="32"/>
          <w:szCs w:val="32"/>
        </w:rPr>
      </w:pPr>
      <w:bookmarkStart w:id="11" w:name="_Toc256000009"/>
      <w:r>
        <w:rPr>
          <w:rFonts w:ascii="仿宋_GB2312" w:hAnsi="仿宋_GB2312" w:eastAsia="仿宋_GB2312" w:cs="仿宋_GB2312"/>
          <w:kern w:val="36"/>
        </w:rPr>
        <w:t>2投标/响应要求</w:t>
      </w:r>
      <w:bookmarkEnd w:id="11"/>
    </w:p>
    <w:p>
      <w:pPr>
        <w:pStyle w:val="3"/>
        <w:keepNext w:val="0"/>
        <w:spacing w:before="0" w:after="0" w:line="360" w:lineRule="auto"/>
        <w:rPr>
          <w:rFonts w:ascii="仿宋_GB2312" w:hAnsi="仿宋_GB2312" w:eastAsia="仿宋_GB2312" w:cs="仿宋_GB2312"/>
          <w:b/>
          <w:bCs/>
          <w:sz w:val="28"/>
          <w:szCs w:val="28"/>
        </w:rPr>
      </w:pPr>
      <w:bookmarkStart w:id="12" w:name="_Toc256000010"/>
      <w:r>
        <w:rPr>
          <w:rFonts w:ascii="仿宋_GB2312" w:hAnsi="仿宋_GB2312" w:eastAsia="仿宋_GB2312" w:cs="仿宋_GB2312"/>
          <w:i w:val="0"/>
          <w:iCs w:val="0"/>
        </w:rPr>
        <w:t>2.1对供应商的要求</w:t>
      </w:r>
      <w:bookmarkEnd w:id="12"/>
    </w:p>
    <w:p>
      <w:pPr>
        <w:pStyle w:val="4"/>
        <w:keepNext w:val="0"/>
        <w:spacing w:before="0" w:after="0" w:line="360" w:lineRule="auto"/>
        <w:rPr>
          <w:rFonts w:ascii="仿宋_GB2312" w:hAnsi="仿宋_GB2312" w:eastAsia="仿宋_GB2312" w:cs="仿宋_GB2312"/>
          <w:b/>
          <w:bCs/>
          <w:sz w:val="28"/>
          <w:szCs w:val="28"/>
        </w:rPr>
      </w:pPr>
      <w:bookmarkStart w:id="13" w:name="_Toc256000011"/>
      <w:r>
        <w:rPr>
          <w:rFonts w:ascii="仿宋_GB2312" w:hAnsi="仿宋_GB2312" w:eastAsia="仿宋_GB2312" w:cs="仿宋_GB2312"/>
          <w:sz w:val="28"/>
          <w:szCs w:val="28"/>
        </w:rPr>
        <w:t>2.1.1必备资质</w:t>
      </w:r>
      <w:bookmarkEnd w:id="13"/>
    </w:p>
    <w:p>
      <w:pPr>
        <w:pStyle w:val="5"/>
        <w:keepNext w:val="0"/>
        <w:spacing w:before="0" w:after="0" w:line="360" w:lineRule="auto"/>
        <w:rPr>
          <w:rFonts w:ascii="仿宋_GB2312" w:hAnsi="仿宋_GB2312" w:eastAsia="仿宋_GB2312" w:cs="仿宋_GB2312"/>
          <w:b/>
          <w:bCs/>
          <w:sz w:val="28"/>
          <w:szCs w:val="28"/>
        </w:rPr>
      </w:pPr>
      <w:r>
        <w:rPr>
          <w:rFonts w:ascii="仿宋_GB2312" w:hAnsi="仿宋_GB2312" w:eastAsia="仿宋_GB2312" w:cs="仿宋_GB2312"/>
        </w:rPr>
        <w:t>2.1.1.1投标人应遵守有关国家法律、法规和条例,具备《中华人民共和国政府采购法》第二十二条的规定和本文件中规定的条件。</w:t>
      </w:r>
    </w:p>
    <w:p>
      <w:pPr>
        <w:pStyle w:val="5"/>
        <w:keepNext w:val="0"/>
        <w:spacing w:before="0" w:after="0" w:line="360" w:lineRule="auto"/>
        <w:rPr>
          <w:rFonts w:ascii="仿宋_GB2312" w:hAnsi="仿宋_GB2312" w:eastAsia="仿宋_GB2312" w:cs="仿宋_GB2312"/>
          <w:b/>
          <w:bCs/>
          <w:sz w:val="28"/>
          <w:szCs w:val="28"/>
        </w:rPr>
      </w:pPr>
      <w:r>
        <w:rPr>
          <w:rFonts w:ascii="仿宋_GB2312" w:hAnsi="仿宋_GB2312" w:eastAsia="仿宋_GB2312" w:cs="仿宋_GB2312"/>
        </w:rPr>
        <w:t>2.1.1.2本项目的特定资格要求</w:t>
      </w:r>
    </w:p>
    <w:p>
      <w:pPr>
        <w:spacing w:before="0" w:after="0" w:line="360" w:lineRule="auto"/>
        <w:rPr>
          <w:rFonts w:ascii="仿宋_GB2312" w:hAnsi="仿宋_GB2312" w:eastAsia="仿宋_GB2312" w:cs="仿宋_GB2312"/>
          <w:sz w:val="28"/>
          <w:szCs w:val="28"/>
        </w:rPr>
      </w:pPr>
      <w:r>
        <w:rPr>
          <w:rFonts w:ascii="FangSong_GB2312" w:hAnsi="FangSong_GB2312" w:eastAsia="FangSong_GB2312" w:cs="FangSong_GB2312"/>
          <w:color w:val="95A5A6"/>
          <w:sz w:val="28"/>
          <w:szCs w:val="28"/>
        </w:rPr>
        <w:t>无</w:t>
      </w:r>
    </w:p>
    <w:p>
      <w:pPr>
        <w:pStyle w:val="4"/>
        <w:keepNext w:val="0"/>
        <w:spacing w:before="0" w:after="0" w:line="360" w:lineRule="auto"/>
        <w:rPr>
          <w:rFonts w:ascii="仿宋_GB2312" w:hAnsi="仿宋_GB2312" w:eastAsia="仿宋_GB2312" w:cs="仿宋_GB2312"/>
          <w:b/>
          <w:bCs/>
          <w:sz w:val="28"/>
          <w:szCs w:val="28"/>
        </w:rPr>
      </w:pPr>
      <w:bookmarkStart w:id="14" w:name="_Toc256000012"/>
      <w:r>
        <w:rPr>
          <w:rFonts w:ascii="仿宋_GB2312" w:hAnsi="仿宋_GB2312" w:eastAsia="仿宋_GB2312" w:cs="仿宋_GB2312"/>
          <w:sz w:val="28"/>
          <w:szCs w:val="28"/>
        </w:rPr>
        <w:t>2.1.2优选资质/优选指标</w:t>
      </w:r>
      <w:bookmarkEnd w:id="14"/>
    </w:p>
    <w:p>
      <w:pPr>
        <w:pStyle w:val="5"/>
        <w:keepNext w:val="0"/>
        <w:spacing w:before="0" w:after="0" w:line="360" w:lineRule="auto"/>
        <w:rPr>
          <w:rFonts w:ascii="仿宋_GB2312" w:hAnsi="仿宋_GB2312" w:eastAsia="仿宋_GB2312" w:cs="仿宋_GB2312"/>
          <w:b/>
          <w:bCs/>
          <w:sz w:val="28"/>
          <w:szCs w:val="28"/>
        </w:rPr>
      </w:pPr>
      <w:r>
        <w:rPr>
          <w:rFonts w:ascii="仿宋_GB2312" w:hAnsi="仿宋_GB2312" w:eastAsia="仿宋_GB2312" w:cs="仿宋_GB2312"/>
        </w:rPr>
        <w:t>2.1.2.1相关证书</w:t>
      </w:r>
    </w:p>
    <w:p>
      <w:pPr>
        <w:pStyle w:val="5"/>
        <w:keepNext w:val="0"/>
        <w:spacing w:before="0" w:after="0" w:line="360" w:lineRule="auto"/>
        <w:rPr>
          <w:rFonts w:ascii="仿宋_GB2312" w:hAnsi="仿宋_GB2312" w:eastAsia="仿宋_GB2312" w:cs="仿宋_GB2312"/>
          <w:b/>
          <w:bCs/>
          <w:sz w:val="28"/>
          <w:szCs w:val="28"/>
        </w:rPr>
      </w:pPr>
      <w:r>
        <w:rPr>
          <w:rFonts w:ascii="仿宋_GB2312" w:hAnsi="仿宋_GB2312" w:eastAsia="仿宋_GB2312" w:cs="仿宋_GB2312"/>
        </w:rPr>
        <w:t>2.1.2.2成功案例</w:t>
      </w:r>
    </w:p>
    <w:p>
      <w:pPr>
        <w:pStyle w:val="12"/>
        <w:spacing w:before="0" w:after="0" w:line="360" w:lineRule="auto"/>
        <w:ind w:left="0" w:right="0"/>
      </w:pPr>
      <w:r>
        <w:rPr>
          <w:rFonts w:ascii="方正仿宋_GB2312" w:hAnsi="方正仿宋_GB2312" w:eastAsia="方正仿宋_GB2312" w:cs="方正仿宋_GB2312"/>
          <w:sz w:val="28"/>
          <w:szCs w:val="28"/>
        </w:rPr>
        <w:t>2023年5月1日以来（以合同签订日期为准）供应商独立承担的同类项目案例。</w:t>
      </w:r>
    </w:p>
    <w:p>
      <w:pPr>
        <w:pStyle w:val="4"/>
        <w:keepNext w:val="0"/>
        <w:spacing w:before="0" w:after="0" w:line="360" w:lineRule="auto"/>
        <w:rPr>
          <w:rFonts w:ascii="仿宋_GB2312" w:hAnsi="仿宋_GB2312" w:eastAsia="仿宋_GB2312" w:cs="仿宋_GB2312"/>
          <w:b/>
          <w:bCs/>
          <w:sz w:val="28"/>
          <w:szCs w:val="28"/>
        </w:rPr>
      </w:pPr>
      <w:bookmarkStart w:id="15" w:name="_Toc256000013"/>
      <w:r>
        <w:rPr>
          <w:rFonts w:ascii="仿宋_GB2312" w:hAnsi="仿宋_GB2312" w:eastAsia="仿宋_GB2312" w:cs="仿宋_GB2312"/>
          <w:sz w:val="28"/>
          <w:szCs w:val="28"/>
        </w:rPr>
        <w:t>2.1.3是否允许联合体</w:t>
      </w:r>
      <w:bookmarkEnd w:id="15"/>
    </w:p>
    <w:p>
      <w:pPr>
        <w:spacing w:before="0" w:after="0" w:line="360" w:lineRule="auto"/>
        <w:ind w:firstLine="561"/>
        <w:rPr>
          <w:rFonts w:ascii="仿宋_GB2312" w:hAnsi="仿宋_GB2312" w:eastAsia="仿宋_GB2312" w:cs="仿宋_GB2312"/>
          <w:sz w:val="28"/>
          <w:szCs w:val="28"/>
        </w:rPr>
      </w:pPr>
      <w:r>
        <w:rPr>
          <w:rFonts w:ascii="仿宋_GB2312" w:hAnsi="仿宋_GB2312" w:eastAsia="仿宋_GB2312" w:cs="仿宋_GB2312"/>
          <w:sz w:val="28"/>
          <w:szCs w:val="28"/>
        </w:rPr>
        <w:t>否</w:t>
      </w:r>
    </w:p>
    <w:p>
      <w:pPr>
        <w:pStyle w:val="4"/>
        <w:keepNext w:val="0"/>
        <w:spacing w:before="0" w:after="0" w:line="360" w:lineRule="auto"/>
        <w:rPr>
          <w:rFonts w:ascii="仿宋_GB2312" w:hAnsi="仿宋_GB2312" w:eastAsia="仿宋_GB2312" w:cs="仿宋_GB2312"/>
          <w:b/>
          <w:bCs/>
          <w:sz w:val="28"/>
          <w:szCs w:val="28"/>
        </w:rPr>
      </w:pPr>
      <w:bookmarkStart w:id="16" w:name="_Toc256000014"/>
      <w:r>
        <w:rPr>
          <w:rFonts w:ascii="仿宋_GB2312" w:hAnsi="仿宋_GB2312" w:eastAsia="仿宋_GB2312" w:cs="仿宋_GB2312"/>
          <w:sz w:val="28"/>
          <w:szCs w:val="28"/>
        </w:rPr>
        <w:t>2.1.4是否专门面向中小企业</w:t>
      </w:r>
      <w:bookmarkEnd w:id="16"/>
    </w:p>
    <w:p>
      <w:pPr>
        <w:spacing w:before="0" w:after="0" w:line="360" w:lineRule="auto"/>
        <w:ind w:firstLine="561"/>
        <w:rPr>
          <w:rFonts w:ascii="仿宋_GB2312" w:hAnsi="仿宋_GB2312" w:eastAsia="仿宋_GB2312" w:cs="仿宋_GB2312"/>
          <w:sz w:val="28"/>
          <w:szCs w:val="28"/>
        </w:rPr>
      </w:pPr>
      <w:r>
        <w:rPr>
          <w:rFonts w:ascii="仿宋_GB2312" w:hAnsi="仿宋_GB2312" w:eastAsia="仿宋_GB2312" w:cs="仿宋_GB2312"/>
          <w:sz w:val="28"/>
          <w:szCs w:val="28"/>
        </w:rPr>
        <w:t>本项目不专门面向中小企业采购项目</w:t>
      </w:r>
    </w:p>
    <w:p>
      <w:pPr>
        <w:pStyle w:val="4"/>
        <w:keepNext w:val="0"/>
        <w:spacing w:before="0" w:after="0" w:line="360" w:lineRule="auto"/>
        <w:rPr>
          <w:rFonts w:ascii="仿宋_GB2312" w:hAnsi="仿宋_GB2312" w:eastAsia="仿宋_GB2312" w:cs="仿宋_GB2312"/>
          <w:b/>
          <w:bCs/>
          <w:sz w:val="28"/>
          <w:szCs w:val="28"/>
        </w:rPr>
      </w:pPr>
      <w:bookmarkStart w:id="17" w:name="_Toc256000015"/>
      <w:r>
        <w:rPr>
          <w:rFonts w:ascii="仿宋_GB2312" w:hAnsi="仿宋_GB2312" w:eastAsia="仿宋_GB2312" w:cs="仿宋_GB2312"/>
          <w:sz w:val="28"/>
          <w:szCs w:val="28"/>
        </w:rPr>
        <w:t>2.1.5其他要求</w:t>
      </w:r>
      <w:bookmarkEnd w:id="17"/>
    </w:p>
    <w:p>
      <w:pPr>
        <w:pStyle w:val="12"/>
        <w:spacing w:before="0" w:after="0" w:line="360" w:lineRule="auto"/>
        <w:ind w:left="0" w:right="0"/>
      </w:pPr>
      <w:r>
        <w:rPr>
          <w:rFonts w:ascii="方正仿宋_GB2312" w:hAnsi="方正仿宋_GB2312" w:eastAsia="方正仿宋_GB2312" w:cs="方正仿宋_GB2312"/>
          <w:sz w:val="28"/>
          <w:szCs w:val="28"/>
        </w:rPr>
        <w:t>   本项目不接受进口产品投标（进口产品是指通过中国海关报关，验放进入中国境内，且产自关境外的产品）。</w:t>
      </w:r>
    </w:p>
    <w:p>
      <w:pPr>
        <w:pStyle w:val="3"/>
        <w:keepNext w:val="0"/>
        <w:spacing w:before="0" w:after="0" w:line="360" w:lineRule="auto"/>
        <w:rPr>
          <w:rFonts w:ascii="仿宋_GB2312" w:hAnsi="仿宋_GB2312" w:eastAsia="仿宋_GB2312" w:cs="仿宋_GB2312"/>
          <w:b/>
          <w:bCs/>
          <w:sz w:val="28"/>
          <w:szCs w:val="28"/>
        </w:rPr>
      </w:pPr>
      <w:bookmarkStart w:id="18" w:name="_Toc256000016"/>
      <w:r>
        <w:rPr>
          <w:rFonts w:ascii="仿宋_GB2312" w:hAnsi="仿宋_GB2312" w:eastAsia="仿宋_GB2312" w:cs="仿宋_GB2312"/>
          <w:i w:val="0"/>
          <w:iCs w:val="0"/>
        </w:rPr>
        <w:t>2.2技术部分投标/响应内容</w:t>
      </w:r>
      <w:bookmarkEnd w:id="18"/>
    </w:p>
    <w:p>
      <w:pPr>
        <w:pStyle w:val="4"/>
        <w:keepNext w:val="0"/>
        <w:spacing w:before="0" w:after="0" w:line="360" w:lineRule="auto"/>
        <w:rPr>
          <w:rFonts w:ascii="仿宋_GB2312" w:hAnsi="仿宋_GB2312" w:eastAsia="仿宋_GB2312" w:cs="仿宋_GB2312"/>
          <w:b/>
          <w:bCs/>
          <w:sz w:val="28"/>
          <w:szCs w:val="28"/>
        </w:rPr>
      </w:pPr>
      <w:bookmarkStart w:id="19" w:name="_Toc256000017"/>
      <w:r>
        <w:rPr>
          <w:rFonts w:ascii="仿宋_GB2312" w:hAnsi="仿宋_GB2312" w:eastAsia="仿宋_GB2312" w:cs="仿宋_GB2312"/>
          <w:sz w:val="28"/>
          <w:szCs w:val="28"/>
        </w:rPr>
        <w:t>2.2.1技术投标/响应总要求</w:t>
      </w:r>
      <w:bookmarkEnd w:id="19"/>
    </w:p>
    <w:p>
      <w:pPr>
        <w:pStyle w:val="13"/>
        <w:spacing w:before="0" w:after="0" w:line="360" w:lineRule="auto"/>
        <w:ind w:left="0" w:right="0" w:firstLine="560"/>
        <w:rPr>
          <w:rFonts w:ascii="Times New Roman" w:hAnsi="Times New Roman" w:eastAsia="Times New Roman" w:cs="Times New Roman"/>
        </w:rPr>
      </w:pPr>
      <w:r>
        <w:rPr>
          <w:rFonts w:ascii="方正仿宋_GB2312" w:hAnsi="方正仿宋_GB2312" w:eastAsia="方正仿宋_GB2312" w:cs="方正仿宋_GB2312"/>
          <w:sz w:val="28"/>
          <w:szCs w:val="28"/>
        </w:rPr>
        <w:t> 投标人必须针对技术部分中的需求逐个或分块作出实质性响应，其响应与采购文件内容采用同样的顺序，描述投标文件如何满足该需求，有详细的文字描述和说明。投标人投入的技术人员应满足相关工作经验要求和专业技能要求，投标人提供本项目投入人员的详细名单、人员简历以及相关资质证明。</w:t>
      </w:r>
    </w:p>
    <w:p>
      <w:pPr>
        <w:pStyle w:val="13"/>
        <w:spacing w:before="0" w:after="0" w:line="360" w:lineRule="auto"/>
        <w:ind w:left="0" w:right="0" w:firstLine="560"/>
        <w:rPr>
          <w:rFonts w:ascii="Times New Roman" w:hAnsi="Times New Roman" w:eastAsia="Times New Roman" w:cs="Times New Roman"/>
        </w:rPr>
      </w:pPr>
      <w:r>
        <w:rPr>
          <w:rFonts w:ascii="方正仿宋_GB2312" w:hAnsi="方正仿宋_GB2312" w:eastAsia="方正仿宋_GB2312" w:cs="方正仿宋_GB2312"/>
          <w:sz w:val="28"/>
          <w:szCs w:val="28"/>
        </w:rPr>
        <w:t> 供应商（投标人）必须针对采购需求部分中有关章节的需求逐个或分块做出实质性响应回答，其响应应与招标文件内容采用同样的顺序。对每个需求的响应必须遵循如下规则：</w:t>
      </w:r>
    </w:p>
    <w:p>
      <w:pPr>
        <w:pStyle w:val="13"/>
        <w:spacing w:before="0" w:after="0" w:line="360" w:lineRule="auto"/>
        <w:ind w:left="0" w:right="0" w:firstLine="560"/>
        <w:rPr>
          <w:rFonts w:ascii="Times New Roman" w:hAnsi="Times New Roman" w:eastAsia="Times New Roman" w:cs="Times New Roman"/>
        </w:rPr>
      </w:pPr>
      <w:r>
        <w:rPr>
          <w:rFonts w:ascii="方正仿宋_GB2312" w:hAnsi="方正仿宋_GB2312" w:eastAsia="方正仿宋_GB2312" w:cs="方正仿宋_GB2312"/>
          <w:sz w:val="28"/>
          <w:szCs w:val="28"/>
        </w:rPr>
        <w:t>（1）用“是/否”响应来表明该需求是否被满足；</w:t>
      </w:r>
    </w:p>
    <w:p>
      <w:pPr>
        <w:pStyle w:val="13"/>
        <w:spacing w:before="0" w:after="0" w:line="360" w:lineRule="auto"/>
        <w:ind w:left="0" w:right="0" w:firstLine="560"/>
        <w:rPr>
          <w:rFonts w:ascii="Times New Roman" w:hAnsi="Times New Roman" w:eastAsia="Times New Roman" w:cs="Times New Roman"/>
        </w:rPr>
      </w:pPr>
      <w:r>
        <w:rPr>
          <w:rFonts w:ascii="方正仿宋_GB2312" w:hAnsi="方正仿宋_GB2312" w:eastAsia="方正仿宋_GB2312" w:cs="方正仿宋_GB2312"/>
          <w:sz w:val="28"/>
          <w:szCs w:val="28"/>
        </w:rPr>
        <w:t>（2）简要描述投标书或供应商（投标人）方案如何满足该需求，如果该响应在投标书其他部分有详述，可在该处简单应答，但必须给出确切的位置索引。</w:t>
      </w:r>
    </w:p>
    <w:p>
      <w:pPr>
        <w:pStyle w:val="4"/>
        <w:keepNext w:val="0"/>
        <w:spacing w:before="0" w:after="0" w:line="360" w:lineRule="auto"/>
        <w:rPr>
          <w:rFonts w:ascii="仿宋_GB2312" w:hAnsi="仿宋_GB2312" w:eastAsia="仿宋_GB2312" w:cs="仿宋_GB2312"/>
          <w:b/>
          <w:bCs/>
          <w:sz w:val="28"/>
          <w:szCs w:val="28"/>
        </w:rPr>
      </w:pPr>
      <w:bookmarkStart w:id="20" w:name="_Toc256000018"/>
      <w:r>
        <w:rPr>
          <w:rFonts w:ascii="仿宋_GB2312" w:hAnsi="仿宋_GB2312" w:eastAsia="仿宋_GB2312" w:cs="仿宋_GB2312"/>
          <w:sz w:val="28"/>
          <w:szCs w:val="28"/>
        </w:rPr>
        <w:t>2.2.2投标/响应方案要求</w:t>
      </w:r>
      <w:bookmarkEnd w:id="20"/>
    </w:p>
    <w:p>
      <w:pPr>
        <w:spacing w:before="0" w:after="0" w:line="360" w:lineRule="auto"/>
        <w:ind w:firstLine="561"/>
        <w:rPr>
          <w:rFonts w:ascii="仿宋_GB2312" w:hAnsi="仿宋_GB2312" w:eastAsia="仿宋_GB2312" w:cs="仿宋_GB2312"/>
          <w:sz w:val="28"/>
          <w:szCs w:val="28"/>
        </w:rPr>
      </w:pPr>
      <w:r>
        <w:rPr>
          <w:rFonts w:ascii="仿宋_GB2312" w:hAnsi="仿宋_GB2312" w:eastAsia="仿宋_GB2312" w:cs="仿宋_GB2312"/>
          <w:sz w:val="28"/>
          <w:szCs w:val="28"/>
        </w:rPr>
        <w:t>以下相关方案，若作为评审因素，则投标人应在满足★必备指标项要求的前提下，基于对优于★指标项及#、△指标项的应答，根据项目特点和采购需求，制定更为完整、详细、可操作性强的方案。</w:t>
      </w:r>
    </w:p>
    <w:p>
      <w:pPr>
        <w:pStyle w:val="12"/>
        <w:spacing w:before="0" w:after="0" w:line="360" w:lineRule="auto"/>
        <w:ind w:left="0" w:right="0" w:firstLine="561"/>
      </w:pPr>
      <w:r>
        <w:rPr>
          <w:rFonts w:ascii="方正仿宋_GB2312" w:hAnsi="方正仿宋_GB2312" w:eastAsia="方正仿宋_GB2312" w:cs="方正仿宋_GB2312"/>
          <w:sz w:val="28"/>
          <w:szCs w:val="28"/>
        </w:rPr>
        <w:t>以下相关方案，若作为评审因素，则投标人应在满足★关键指标项要求的前提下，根据项目特点和采购需求，制定更为完整、详细、可操作性强的方案。</w:t>
      </w:r>
    </w:p>
    <w:p>
      <w:pPr>
        <w:pStyle w:val="14"/>
        <w:spacing w:before="0" w:after="0" w:line="360" w:lineRule="auto"/>
        <w:ind w:firstLine="562"/>
        <w:rPr>
          <w:rFonts w:ascii="Times New Roman" w:hAnsi="Times New Roman" w:eastAsia="Times New Roman" w:cs="Times New Roman"/>
        </w:rPr>
      </w:pPr>
      <w:r>
        <w:rPr>
          <w:rFonts w:ascii="方正仿宋_GB2312" w:hAnsi="方正仿宋_GB2312" w:eastAsia="方正仿宋_GB2312" w:cs="方正仿宋_GB2312"/>
          <w:b/>
          <w:bCs/>
          <w:sz w:val="28"/>
          <w:szCs w:val="28"/>
        </w:rPr>
        <w:t>2.2.2.1项目需求理解</w:t>
      </w:r>
    </w:p>
    <w:p>
      <w:pPr>
        <w:pStyle w:val="13"/>
        <w:spacing w:before="0" w:after="0" w:line="360" w:lineRule="auto"/>
        <w:ind w:left="0" w:firstLine="560"/>
        <w:rPr>
          <w:rFonts w:ascii="Times New Roman" w:hAnsi="Times New Roman" w:eastAsia="Times New Roman" w:cs="Times New Roman"/>
        </w:rPr>
      </w:pPr>
      <w:r>
        <w:rPr>
          <w:rFonts w:ascii="方正仿宋_GB2312" w:hAnsi="方正仿宋_GB2312" w:eastAsia="方正仿宋_GB2312" w:cs="方正仿宋_GB2312"/>
          <w:sz w:val="28"/>
          <w:szCs w:val="28"/>
        </w:rPr>
        <w:t>投标人须充分理解项目招标内容，对项目背景、项目目标、项目内容、项目实施要求等内容等进行详细阐述和分析，并结合自身相关项目经验，对如何开展本项目工作进行表述。</w:t>
      </w:r>
    </w:p>
    <w:p>
      <w:pPr>
        <w:pStyle w:val="14"/>
        <w:pBdr>
          <w:top w:val="none" w:color="auto" w:sz="0" w:space="0"/>
          <w:left w:val="none" w:color="auto" w:sz="0" w:space="0"/>
          <w:bottom w:val="none" w:color="auto" w:sz="0" w:space="0"/>
          <w:right w:val="none" w:color="auto" w:sz="0" w:space="0"/>
        </w:pBdr>
        <w:spacing w:before="0" w:after="0" w:line="360" w:lineRule="auto"/>
        <w:ind w:left="0" w:right="0" w:firstLine="480"/>
        <w:rPr>
          <w:rFonts w:ascii="Times New Roman" w:hAnsi="Times New Roman" w:eastAsia="Times New Roman" w:cs="Times New Roman"/>
        </w:rPr>
      </w:pPr>
      <w:r>
        <w:rPr>
          <w:rFonts w:ascii="方正仿宋_GB2312" w:hAnsi="方正仿宋_GB2312" w:eastAsia="方正仿宋_GB2312" w:cs="方正仿宋_GB2312"/>
          <w:b/>
          <w:bCs/>
          <w:sz w:val="28"/>
          <w:szCs w:val="28"/>
        </w:rPr>
        <w:t>2.2.2.2硬件集成实施</w:t>
      </w:r>
    </w:p>
    <w:p>
      <w:pPr>
        <w:pStyle w:val="14"/>
        <w:spacing w:before="0" w:after="0" w:line="360" w:lineRule="auto"/>
        <w:ind w:firstLine="480"/>
        <w:rPr>
          <w:rFonts w:ascii="Times New Roman" w:hAnsi="Times New Roman" w:eastAsia="Times New Roman" w:cs="Times New Roman"/>
        </w:rPr>
      </w:pPr>
      <w:r>
        <w:rPr>
          <w:rFonts w:ascii="方正仿宋_GB2312" w:hAnsi="方正仿宋_GB2312" w:eastAsia="方正仿宋_GB2312" w:cs="方正仿宋_GB2312"/>
          <w:sz w:val="28"/>
          <w:szCs w:val="28"/>
        </w:rPr>
        <w:t>投标人根据招标文件中的3.3.13硬件集成实施要求编写硬件集成实施方案，覆盖云平台硬件集成实施、安全设备集成实施、空调设备集成实施等三项工作，明确集成实施目标、范围、内容、流程及职责分工，方案包括但不限于实施计划、团队人员、集成规划设计、实施流程、验证标准、系统割接、风险管控等，响应内容做到完整、详细，具有可操作性，有针对性。</w:t>
      </w:r>
    </w:p>
    <w:p>
      <w:pPr>
        <w:pStyle w:val="14"/>
        <w:spacing w:before="0" w:after="0" w:line="360" w:lineRule="auto"/>
        <w:ind w:firstLine="480"/>
        <w:rPr>
          <w:rFonts w:ascii="Times New Roman" w:hAnsi="Times New Roman" w:eastAsia="Times New Roman" w:cs="Times New Roman"/>
        </w:rPr>
      </w:pPr>
      <w:r>
        <w:rPr>
          <w:rFonts w:ascii="方正仿宋_GB2312" w:hAnsi="方正仿宋_GB2312" w:eastAsia="方正仿宋_GB2312" w:cs="方正仿宋_GB2312"/>
          <w:b/>
          <w:bCs/>
          <w:sz w:val="28"/>
          <w:szCs w:val="28"/>
        </w:rPr>
        <w:t>2.2.2.3技术保障服务</w:t>
      </w:r>
    </w:p>
    <w:p>
      <w:pPr>
        <w:pStyle w:val="14"/>
        <w:spacing w:before="0" w:after="0" w:line="360" w:lineRule="auto"/>
        <w:ind w:firstLine="480"/>
        <w:rPr>
          <w:rFonts w:ascii="Times New Roman" w:hAnsi="Times New Roman" w:eastAsia="Times New Roman" w:cs="Times New Roman"/>
        </w:rPr>
      </w:pPr>
      <w:r>
        <w:rPr>
          <w:rFonts w:ascii="方正仿宋_GB2312" w:hAnsi="方正仿宋_GB2312" w:eastAsia="方正仿宋_GB2312" w:cs="方正仿宋_GB2312"/>
          <w:sz w:val="28"/>
          <w:szCs w:val="28"/>
        </w:rPr>
        <w:t>投标人根据招标文件中的3.4服务要求等编写技术保障服务方案，内容主要包括质保服务、设备供货、售后服务、应急响应等，明确服务体系架构、服务标准、服务流程以及服务保障等，响应内容做到完整、详细，具有可操作性、有针对性。</w:t>
      </w:r>
    </w:p>
    <w:p>
      <w:pPr>
        <w:pStyle w:val="14"/>
        <w:spacing w:before="0" w:after="0" w:line="360" w:lineRule="auto"/>
        <w:ind w:firstLine="480"/>
        <w:rPr>
          <w:rFonts w:ascii="Times New Roman" w:hAnsi="Times New Roman" w:eastAsia="Times New Roman" w:cs="Times New Roman"/>
        </w:rPr>
      </w:pPr>
      <w:r>
        <w:rPr>
          <w:rFonts w:ascii="方正仿宋_GB2312" w:hAnsi="方正仿宋_GB2312" w:eastAsia="方正仿宋_GB2312" w:cs="方正仿宋_GB2312"/>
          <w:b/>
          <w:bCs/>
          <w:sz w:val="28"/>
          <w:szCs w:val="28"/>
        </w:rPr>
        <w:t>2.2.2.4项目管理实施</w:t>
      </w:r>
    </w:p>
    <w:p>
      <w:pPr>
        <w:pStyle w:val="14"/>
        <w:spacing w:before="0" w:after="0" w:line="360" w:lineRule="auto"/>
        <w:ind w:firstLine="480"/>
        <w:rPr>
          <w:rFonts w:ascii="Times New Roman" w:hAnsi="Times New Roman" w:eastAsia="Times New Roman" w:cs="Times New Roman"/>
        </w:rPr>
      </w:pPr>
      <w:r>
        <w:rPr>
          <w:rFonts w:ascii="方正仿宋_GB2312" w:hAnsi="方正仿宋_GB2312" w:eastAsia="方正仿宋_GB2312" w:cs="方正仿宋_GB2312"/>
          <w:sz w:val="28"/>
          <w:szCs w:val="28"/>
        </w:rPr>
        <w:t>投标人根据招标文件中的4.人员要求、5.管理实施要求、6.风险管控要求等编写项目管理实施方案，主要内容覆盖人员要求（包括但不限于项目组织结构、团队要求等）、管理实施要求（包括但不限于总体要求、实施要求、项目管控要求、质量管理要求、知识产权要求、文档要求）、风险管控要求（包括但不限于总体要求、项目风险识别与评估、项目风险应对与处置）等三项工作，响应内容做到完整、详细，具有可操作性、有针对性。</w:t>
      </w:r>
    </w:p>
    <w:p>
      <w:pPr>
        <w:pStyle w:val="14"/>
        <w:spacing w:before="0" w:after="0" w:line="360" w:lineRule="auto"/>
        <w:ind w:firstLine="562"/>
        <w:rPr>
          <w:rFonts w:ascii="Times New Roman" w:hAnsi="Times New Roman" w:eastAsia="Times New Roman" w:cs="Times New Roman"/>
        </w:rPr>
      </w:pPr>
      <w:r>
        <w:rPr>
          <w:rFonts w:ascii="方正仿宋_GB2312" w:hAnsi="方正仿宋_GB2312" w:eastAsia="方正仿宋_GB2312" w:cs="方正仿宋_GB2312"/>
          <w:b/>
          <w:bCs/>
          <w:sz w:val="28"/>
          <w:szCs w:val="28"/>
        </w:rPr>
        <w:t>2.2.2.5保密方案</w:t>
      </w:r>
    </w:p>
    <w:p>
      <w:pPr>
        <w:pStyle w:val="15"/>
        <w:spacing w:before="0" w:after="0" w:line="360" w:lineRule="auto"/>
        <w:ind w:firstLine="560"/>
        <w:rPr>
          <w:rFonts w:ascii="Times New Roman" w:hAnsi="Times New Roman" w:eastAsia="Times New Roman" w:cs="Times New Roman"/>
        </w:rPr>
      </w:pPr>
      <w:r>
        <w:rPr>
          <w:rFonts w:ascii="方正仿宋_GB2312" w:hAnsi="方正仿宋_GB2312" w:eastAsia="方正仿宋_GB2312" w:cs="方正仿宋_GB2312"/>
          <w:sz w:val="28"/>
          <w:szCs w:val="28"/>
        </w:rPr>
        <w:t>投标人及参与项目的所有人员应根据国家保密法规以及采购人的有关保密要求，切实做好保密工作。投标人须按8.3.1保密要求制定保密方案，方案中要包含相关制度、实施手段、相应措施、文档管控等。</w:t>
      </w:r>
    </w:p>
    <w:p>
      <w:pPr>
        <w:pStyle w:val="12"/>
        <w:spacing w:before="0" w:after="0" w:line="360" w:lineRule="auto"/>
        <w:ind w:left="0" w:right="0" w:firstLine="562"/>
      </w:pPr>
      <w:r>
        <w:rPr>
          <w:rFonts w:ascii="方正仿宋_GB2312" w:hAnsi="方正仿宋_GB2312" w:eastAsia="方正仿宋_GB2312" w:cs="方正仿宋_GB2312"/>
          <w:b/>
          <w:bCs/>
          <w:sz w:val="28"/>
          <w:szCs w:val="28"/>
        </w:rPr>
        <w:t>2.2.2.6项目验收方案</w:t>
      </w:r>
    </w:p>
    <w:p>
      <w:pPr>
        <w:pStyle w:val="14"/>
        <w:spacing w:before="0" w:after="0" w:line="360" w:lineRule="auto"/>
        <w:ind w:firstLine="480"/>
        <w:rPr>
          <w:rFonts w:ascii="Times New Roman" w:hAnsi="Times New Roman" w:eastAsia="Times New Roman" w:cs="Times New Roman"/>
        </w:rPr>
      </w:pPr>
      <w:r>
        <w:rPr>
          <w:rFonts w:ascii="方正仿宋_GB2312" w:hAnsi="方正仿宋_GB2312" w:eastAsia="方正仿宋_GB2312" w:cs="方正仿宋_GB2312"/>
          <w:sz w:val="28"/>
          <w:szCs w:val="28"/>
        </w:rPr>
        <w:t>投标人须按照7.履约验收要求编制项目验收方案，内容包括但不限于验收流程及标准、相关文档和产出物管理等。</w:t>
      </w:r>
    </w:p>
    <w:p>
      <w:pPr>
        <w:pStyle w:val="2"/>
        <w:keepNext w:val="0"/>
        <w:spacing w:before="0" w:after="0" w:line="360" w:lineRule="auto"/>
        <w:jc w:val="center"/>
        <w:rPr>
          <w:rFonts w:ascii="仿宋_GB2312" w:hAnsi="仿宋_GB2312" w:eastAsia="仿宋_GB2312" w:cs="仿宋_GB2312"/>
          <w:b/>
          <w:bCs/>
          <w:sz w:val="32"/>
          <w:szCs w:val="32"/>
        </w:rPr>
      </w:pPr>
      <w:bookmarkStart w:id="21" w:name="_Toc256000019"/>
      <w:r>
        <w:rPr>
          <w:rFonts w:ascii="仿宋_GB2312" w:hAnsi="仿宋_GB2312" w:eastAsia="仿宋_GB2312" w:cs="仿宋_GB2312"/>
          <w:kern w:val="36"/>
        </w:rPr>
        <w:t>3项目需求</w:t>
      </w:r>
      <w:bookmarkEnd w:id="21"/>
    </w:p>
    <w:p>
      <w:pPr>
        <w:pStyle w:val="3"/>
        <w:keepNext w:val="0"/>
        <w:spacing w:before="0" w:after="0" w:line="360" w:lineRule="auto"/>
        <w:rPr>
          <w:rFonts w:ascii="仿宋_GB2312" w:hAnsi="仿宋_GB2312" w:eastAsia="仿宋_GB2312" w:cs="仿宋_GB2312"/>
          <w:b/>
          <w:bCs/>
          <w:sz w:val="28"/>
          <w:szCs w:val="28"/>
        </w:rPr>
      </w:pPr>
      <w:bookmarkStart w:id="22" w:name="_Toc256000020"/>
      <w:r>
        <w:rPr>
          <w:rFonts w:ascii="仿宋_GB2312" w:hAnsi="仿宋_GB2312" w:eastAsia="仿宋_GB2312" w:cs="仿宋_GB2312"/>
          <w:i w:val="0"/>
          <w:iCs w:val="0"/>
        </w:rPr>
        <w:t>3.1总体要求</w:t>
      </w:r>
      <w:bookmarkEnd w:id="22"/>
    </w:p>
    <w:p>
      <w:pPr>
        <w:pStyle w:val="13"/>
        <w:spacing w:before="0" w:after="0" w:line="360" w:lineRule="auto"/>
        <w:ind w:firstLine="560"/>
        <w:rPr>
          <w:rFonts w:ascii="Times New Roman" w:hAnsi="Times New Roman" w:eastAsia="Times New Roman" w:cs="Times New Roman"/>
        </w:rPr>
      </w:pPr>
      <w:r>
        <w:rPr>
          <w:rFonts w:ascii="方正仿宋_GB2312" w:hAnsi="方正仿宋_GB2312" w:eastAsia="方正仿宋_GB2312" w:cs="方正仿宋_GB2312"/>
          <w:sz w:val="28"/>
          <w:szCs w:val="28"/>
        </w:rPr>
        <w:t>投标人必须针对采购文件（技术部分）中的要求逐个或分块作出响应，其响应与采购文件内容采用同样的顺序。采购文件（技术部分）中有标注★号的，为必备要求，必须满足，如未作出响应或响应无法满足的，将导致响应无效。所投产品必须列明所有技术指标，不得含糊不清。</w:t>
      </w:r>
    </w:p>
    <w:p>
      <w:pPr>
        <w:pStyle w:val="3"/>
        <w:keepNext w:val="0"/>
        <w:spacing w:before="0" w:after="0" w:line="360" w:lineRule="auto"/>
        <w:rPr>
          <w:rFonts w:ascii="仿宋_GB2312" w:hAnsi="仿宋_GB2312" w:eastAsia="仿宋_GB2312" w:cs="仿宋_GB2312"/>
          <w:b/>
          <w:bCs/>
          <w:sz w:val="28"/>
          <w:szCs w:val="28"/>
        </w:rPr>
      </w:pPr>
      <w:bookmarkStart w:id="23" w:name="_Toc256000021"/>
      <w:r>
        <w:rPr>
          <w:rFonts w:ascii="仿宋_GB2312" w:hAnsi="仿宋_GB2312" w:eastAsia="仿宋_GB2312" w:cs="仿宋_GB2312"/>
          <w:i w:val="0"/>
          <w:iCs w:val="0"/>
        </w:rPr>
        <w:t>3.2采购产品一览表</w:t>
      </w:r>
      <w:bookmarkEnd w:id="23"/>
    </w:p>
    <w:tbl>
      <w:tblPr>
        <w:tblStyle w:val="9"/>
        <w:tblW w:w="5000" w:type="pct"/>
        <w:tblInd w:w="30" w:type="dxa"/>
        <w:tblLayout w:type="autofit"/>
        <w:tblCellMar>
          <w:top w:w="15" w:type="dxa"/>
          <w:left w:w="15" w:type="dxa"/>
          <w:bottom w:w="15" w:type="dxa"/>
          <w:right w:w="15" w:type="dxa"/>
        </w:tblCellMar>
      </w:tblPr>
      <w:tblGrid>
        <w:gridCol w:w="906"/>
        <w:gridCol w:w="1632"/>
        <w:gridCol w:w="1633"/>
        <w:gridCol w:w="1633"/>
        <w:gridCol w:w="1633"/>
        <w:gridCol w:w="1633"/>
      </w:tblGrid>
      <w:tr>
        <w:tblPrEx>
          <w:tblCellMar>
            <w:top w:w="15" w:type="dxa"/>
            <w:left w:w="15" w:type="dxa"/>
            <w:bottom w:w="15" w:type="dxa"/>
            <w:right w:w="15" w:type="dxa"/>
          </w:tblCellMar>
        </w:tblPrEx>
        <w:tc>
          <w:tcPr>
            <w:tcW w:w="5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序号</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产品类别</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产品名称</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数量</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单位</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备注</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硬件</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通用计算节点1服务器</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137</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台</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最高限价1137.1万元</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硬件</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通用计算节点2服务器</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14</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台</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最高限价141.4万元</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硬件</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通用存储节点1服务器</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台</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最高限价261.66万元</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硬件</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通用存储节点2服务器</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122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台</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最高限价1801.94万元</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硬件</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通用存储节点3服务器</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台</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最高限价37.2万元</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6</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硬件</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万兆接入交换机</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14</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台</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最高限价105万元</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7</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硬件</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千兆接入交换机</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7</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台</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最高限价6.65万元</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8</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硬件</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运维安全管理设备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台</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最高限价43万元</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9</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硬件</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Web漏洞设备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台</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最高限价18.65万元</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硬件</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入侵防御设备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台</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最高限价37.3万元</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硬件</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流量监控设备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台</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最高限价64.2万元</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硬件</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精密空调</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台</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最高限价46万元</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13</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hint="eastAsia" w:ascii="仿宋_GB2312" w:hAnsi="仿宋_GB2312" w:eastAsia="仿宋_GB2312" w:cs="仿宋_GB2312"/>
                <w:b w:val="0"/>
                <w:bCs w:val="0"/>
                <w:i w:val="0"/>
                <w:iCs w:val="0"/>
                <w:smallCaps w:val="0"/>
                <w:color w:val="000000"/>
                <w:sz w:val="21"/>
                <w:szCs w:val="21"/>
                <w:lang w:val="en-US" w:eastAsia="zh-CN"/>
              </w:rPr>
            </w:pPr>
            <w:r>
              <w:rPr>
                <w:rFonts w:ascii="仿宋_GB2312" w:hAnsi="仿宋_GB2312" w:eastAsia="仿宋_GB2312" w:cs="仿宋_GB2312"/>
                <w:b w:val="0"/>
                <w:bCs w:val="0"/>
                <w:i w:val="0"/>
                <w:iCs w:val="0"/>
                <w:smallCaps w:val="0"/>
                <w:color w:val="000000"/>
                <w:sz w:val="21"/>
                <w:szCs w:val="21"/>
              </w:rPr>
              <w:t>硬件集成</w:t>
            </w:r>
            <w:r>
              <w:rPr>
                <w:rFonts w:hint="eastAsia" w:ascii="仿宋_GB2312" w:hAnsi="仿宋_GB2312" w:eastAsia="仿宋_GB2312" w:cs="仿宋_GB2312"/>
                <w:b w:val="0"/>
                <w:bCs w:val="0"/>
                <w:i w:val="0"/>
                <w:iCs w:val="0"/>
                <w:smallCaps w:val="0"/>
                <w:color w:val="000000"/>
                <w:sz w:val="21"/>
                <w:szCs w:val="21"/>
                <w:lang w:eastAsia="zh-CN"/>
              </w:rPr>
              <w:t>服务</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硬件集成实施服务</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项</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最高限价222.01万元</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14</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合计</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329</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最高限价3922.11万元</w:t>
            </w:r>
          </w:p>
        </w:tc>
      </w:tr>
    </w:tbl>
    <w:p>
      <w:pPr>
        <w:pStyle w:val="3"/>
        <w:keepNext w:val="0"/>
        <w:spacing w:before="0" w:after="0" w:line="360" w:lineRule="auto"/>
        <w:rPr>
          <w:rFonts w:ascii="仿宋_GB2312" w:hAnsi="仿宋_GB2312" w:eastAsia="仿宋_GB2312" w:cs="仿宋_GB2312"/>
          <w:b/>
          <w:bCs/>
          <w:sz w:val="28"/>
          <w:szCs w:val="28"/>
        </w:rPr>
      </w:pPr>
      <w:bookmarkStart w:id="24" w:name="_Toc256000022"/>
      <w:r>
        <w:rPr>
          <w:rFonts w:ascii="仿宋_GB2312" w:hAnsi="仿宋_GB2312" w:eastAsia="仿宋_GB2312" w:cs="仿宋_GB2312"/>
          <w:i w:val="0"/>
          <w:iCs w:val="0"/>
        </w:rPr>
        <w:t>3.3采购产品详细清单及技术指标</w:t>
      </w:r>
      <w:bookmarkEnd w:id="24"/>
    </w:p>
    <w:p>
      <w:pPr>
        <w:spacing w:before="0" w:after="0" w:line="360" w:lineRule="auto"/>
        <w:ind w:firstLine="561"/>
        <w:rPr>
          <w:rFonts w:ascii="仿宋_GB2312" w:hAnsi="仿宋_GB2312" w:eastAsia="仿宋_GB2312" w:cs="仿宋_GB2312"/>
          <w:sz w:val="28"/>
          <w:szCs w:val="28"/>
        </w:rPr>
      </w:pPr>
      <w:r>
        <w:rPr>
          <w:rFonts w:ascii="仿宋_GB2312" w:hAnsi="仿宋_GB2312" w:eastAsia="仿宋_GB2312" w:cs="仿宋_GB2312"/>
          <w:sz w:val="28"/>
          <w:szCs w:val="28"/>
        </w:rPr>
        <w:t>采购文件（技术部分）中有标注★号的，为必备要求，必须满足，如未作出响应，将导致响应无效；#为重要内容、△为一般内容。</w:t>
      </w:r>
    </w:p>
    <w:p>
      <w:pPr>
        <w:pStyle w:val="4"/>
        <w:keepNext w:val="0"/>
        <w:spacing w:before="0" w:after="0" w:line="360" w:lineRule="auto"/>
        <w:rPr>
          <w:rFonts w:ascii="仿宋_GB2312" w:hAnsi="仿宋_GB2312" w:eastAsia="仿宋_GB2312" w:cs="仿宋_GB2312"/>
          <w:b/>
          <w:bCs/>
          <w:sz w:val="28"/>
          <w:szCs w:val="28"/>
        </w:rPr>
      </w:pPr>
      <w:bookmarkStart w:id="25" w:name="_Toc256000023"/>
      <w:r>
        <w:rPr>
          <w:rFonts w:ascii="仿宋_GB2312" w:hAnsi="仿宋_GB2312" w:eastAsia="仿宋_GB2312" w:cs="仿宋_GB2312"/>
          <w:sz w:val="28"/>
          <w:szCs w:val="28"/>
        </w:rPr>
        <w:t>3.3.1通用计算节点1服务器（137台）</w:t>
      </w:r>
      <w:bookmarkEnd w:id="25"/>
    </w:p>
    <w:tbl>
      <w:tblPr>
        <w:tblStyle w:val="9"/>
        <w:tblW w:w="5000" w:type="pct"/>
        <w:tblInd w:w="30" w:type="dxa"/>
        <w:tblLayout w:type="autofit"/>
        <w:tblCellMar>
          <w:top w:w="15" w:type="dxa"/>
          <w:left w:w="15" w:type="dxa"/>
          <w:bottom w:w="15" w:type="dxa"/>
          <w:right w:w="15" w:type="dxa"/>
        </w:tblCellMar>
      </w:tblPr>
      <w:tblGrid>
        <w:gridCol w:w="906"/>
        <w:gridCol w:w="1632"/>
        <w:gridCol w:w="1633"/>
        <w:gridCol w:w="1633"/>
        <w:gridCol w:w="1633"/>
        <w:gridCol w:w="1633"/>
      </w:tblGrid>
      <w:tr>
        <w:tblPrEx>
          <w:tblCellMar>
            <w:top w:w="15" w:type="dxa"/>
            <w:left w:w="15" w:type="dxa"/>
            <w:bottom w:w="15" w:type="dxa"/>
            <w:right w:w="15" w:type="dxa"/>
          </w:tblCellMar>
        </w:tblPrEx>
        <w:tc>
          <w:tcPr>
            <w:tcW w:w="5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序号</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指标种类</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指标名称</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指标内容</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重要性</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是否需要证明材料</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机型要求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机架式服务器，高度≤2U，配置机架式服务器配套导轨</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处理器</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国产处理器，配置≥2颗处理器，单颗CPU核数≥64核，CPU频率≥2.6GHz</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内存</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内存数量≥16，内存总容量≥512GB，内存规格DDR4及以上</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单内存容量及内存速率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单内存模块容量≥32G，内存速率≥2666MHz</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硬盘配置</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≥1块480GB SSD，硬盘支持热插拔</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6</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RAID卡要求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配置≥1*RAID 卡，RAID 卡缓存容量≥2GB</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7</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RAID 级别支持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支持RAID 0, 1, 10, 5, 50, 6, 60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8</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网口速率和数量</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配置≥4个千兆网口，2个万兆光口（包含多模光模块）（1块独立双口10Gb光纤网卡）</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9</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电源数量及功率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冗余电源：≥2个交流电源，含电源连接线，电源模块功率应有一定冗余，满足处理器满载时的需求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操作系统</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支持麒麟、统信UOS等主流国产化操作系统</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安全要求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关键部件安全要求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CPU 和操作系统等关键部件应当符合安全可靠测评要求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通用要求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政府采购需求标准要求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应满足《通用服务器政府采购需求标准（2023 年版）》中加*的指标要求，由供应商出具承诺书。</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是</w:t>
            </w:r>
          </w:p>
        </w:tc>
      </w:tr>
    </w:tbl>
    <w:p>
      <w:pPr>
        <w:pStyle w:val="4"/>
        <w:keepNext w:val="0"/>
        <w:spacing w:before="0" w:after="0" w:line="360" w:lineRule="auto"/>
        <w:rPr>
          <w:rFonts w:ascii="仿宋_GB2312" w:hAnsi="仿宋_GB2312" w:eastAsia="仿宋_GB2312" w:cs="仿宋_GB2312"/>
          <w:b/>
          <w:bCs/>
          <w:sz w:val="28"/>
          <w:szCs w:val="28"/>
        </w:rPr>
      </w:pPr>
      <w:bookmarkStart w:id="26" w:name="_Toc256000024"/>
      <w:r>
        <w:rPr>
          <w:rFonts w:ascii="仿宋_GB2312" w:hAnsi="仿宋_GB2312" w:eastAsia="仿宋_GB2312" w:cs="仿宋_GB2312"/>
          <w:sz w:val="28"/>
          <w:szCs w:val="28"/>
        </w:rPr>
        <w:t>3.3.2通用计算节点2服务器（14台）</w:t>
      </w:r>
      <w:bookmarkEnd w:id="26"/>
    </w:p>
    <w:tbl>
      <w:tblPr>
        <w:tblStyle w:val="9"/>
        <w:tblW w:w="5000" w:type="pct"/>
        <w:tblInd w:w="30" w:type="dxa"/>
        <w:tblLayout w:type="autofit"/>
        <w:tblCellMar>
          <w:top w:w="15" w:type="dxa"/>
          <w:left w:w="15" w:type="dxa"/>
          <w:bottom w:w="15" w:type="dxa"/>
          <w:right w:w="15" w:type="dxa"/>
        </w:tblCellMar>
      </w:tblPr>
      <w:tblGrid>
        <w:gridCol w:w="906"/>
        <w:gridCol w:w="1632"/>
        <w:gridCol w:w="1633"/>
        <w:gridCol w:w="1633"/>
        <w:gridCol w:w="1633"/>
        <w:gridCol w:w="1633"/>
      </w:tblGrid>
      <w:tr>
        <w:tblPrEx>
          <w:tblCellMar>
            <w:top w:w="15" w:type="dxa"/>
            <w:left w:w="15" w:type="dxa"/>
            <w:bottom w:w="15" w:type="dxa"/>
            <w:right w:w="15" w:type="dxa"/>
          </w:tblCellMar>
        </w:tblPrEx>
        <w:tc>
          <w:tcPr>
            <w:tcW w:w="5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序号</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指标种类</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指标名称</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指标内容</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重要性</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是否需要证明材料</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机型要求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机架式服务器，高度≤2U，配置机架式服务器配套导轨</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处理器</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国产处理器，配置≥2颗处理器，单颗CPU核数≥64核，CPU频率≥2.6GHz</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内存</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内存数量≥16，内存总容量≥512GB，内存规格DDR4及以上</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单内存容量及内存速率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单内存模块容量≥32G，内存速率≥2666MHz</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硬盘配置</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配置≥12块960GB SSD，硬盘支持热插拔</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6</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RAID卡要求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配置≥1*RAID 卡，RAID 卡缓存容量≥2GB</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7</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RAID 级别支持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支持RAID 0, 1, 10, 5, 50, 6, 60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8</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网口速率和数量</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配置≥4个千兆网口， 2个万兆光口（包含多模光模块）（1块独立双口10Gb光纤网卡）；</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9</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电源数量及功率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冗余电源：≥2个交流电源，含电源连接线，电源模块功率应有一定冗余，满足处理器满载时的需求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操作系统</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支持麒麟、统信UOS等主流国产化操作系统</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安全要求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关键部件安全要求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CPU 和操作系统等关键部件应当符合安全可靠测评要求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通用要求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政府采购需求标准要求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应满足《通用服务器政府采购需求标准（2023 年版）》中加*的指标要求，由供应商出具承诺书</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是</w:t>
            </w:r>
          </w:p>
        </w:tc>
      </w:tr>
    </w:tbl>
    <w:p>
      <w:pPr>
        <w:pStyle w:val="4"/>
        <w:keepNext w:val="0"/>
        <w:spacing w:before="0" w:after="0" w:line="360" w:lineRule="auto"/>
        <w:rPr>
          <w:rFonts w:ascii="仿宋_GB2312" w:hAnsi="仿宋_GB2312" w:eastAsia="仿宋_GB2312" w:cs="仿宋_GB2312"/>
          <w:b/>
          <w:bCs/>
          <w:sz w:val="28"/>
          <w:szCs w:val="28"/>
        </w:rPr>
      </w:pPr>
      <w:bookmarkStart w:id="27" w:name="_Toc256000025"/>
      <w:r>
        <w:rPr>
          <w:rFonts w:ascii="仿宋_GB2312" w:hAnsi="仿宋_GB2312" w:eastAsia="仿宋_GB2312" w:cs="仿宋_GB2312"/>
          <w:sz w:val="28"/>
          <w:szCs w:val="28"/>
        </w:rPr>
        <w:t>3.3.3通用存储节点1服务器（21台）</w:t>
      </w:r>
      <w:bookmarkEnd w:id="27"/>
    </w:p>
    <w:tbl>
      <w:tblPr>
        <w:tblStyle w:val="9"/>
        <w:tblW w:w="5000" w:type="pct"/>
        <w:tblInd w:w="30" w:type="dxa"/>
        <w:tblLayout w:type="autofit"/>
        <w:tblCellMar>
          <w:top w:w="15" w:type="dxa"/>
          <w:left w:w="15" w:type="dxa"/>
          <w:bottom w:w="15" w:type="dxa"/>
          <w:right w:w="15" w:type="dxa"/>
        </w:tblCellMar>
      </w:tblPr>
      <w:tblGrid>
        <w:gridCol w:w="906"/>
        <w:gridCol w:w="1632"/>
        <w:gridCol w:w="1633"/>
        <w:gridCol w:w="1633"/>
        <w:gridCol w:w="1633"/>
        <w:gridCol w:w="1633"/>
      </w:tblGrid>
      <w:tr>
        <w:tblPrEx>
          <w:tblCellMar>
            <w:top w:w="15" w:type="dxa"/>
            <w:left w:w="15" w:type="dxa"/>
            <w:bottom w:w="15" w:type="dxa"/>
            <w:right w:w="15" w:type="dxa"/>
          </w:tblCellMar>
        </w:tblPrEx>
        <w:tc>
          <w:tcPr>
            <w:tcW w:w="5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序号</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指标种类</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指标名称</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指标内容</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重要性</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是否需要证明材料</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机型要求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机架式服务器，高度≤2U，配置机架式服务器配套导轨</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处理器</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国产处理器，配置≥2颗处理器，单颗CPU核数≥64核，CPU频率≥2.6GHz；</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内存</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内存数量≥16，内存总容量≥512GB，内存规格DDR4及以上</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单内存容量及内存速率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单内存模块容量≥32G，内存速率≥2666MHz</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硬盘配置</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存储1：配置≥2块6.4TB NVME SSD；存储2：配置≥10块12TB SATA HDD；存储3：配置≥1块480GB SSD；硬盘支持热插拔</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6</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RAID卡要求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配置≥1*RAID 卡，RAID 卡缓存容量≥2GB</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7</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RAID 级别支持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支持RAID 0, 1, 10, 5, 50, 6, 60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8</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网口速率和数量</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配置≥4个千兆网口， 2个万兆光口（包含多模光模块）（1块独立双口10Gb光纤网卡）；</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9</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电源数量及功率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冗余电源：≥2个交流电源，含电源连接线，电源模块功率应有一定冗余，满足处理器满载时的需求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操作系统</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支持麒麟、统信UOS等主流国产化操作系统</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安全要求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关键部件安全要求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CPU 和操作系统等关键部件应当符合安全可靠测评要求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通用要求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政府采购需求标准要求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应满足《通用服务器政府采购需求标准（2023 年版）》中加*的指标要求，由供应商出具承诺书。</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是</w:t>
            </w:r>
          </w:p>
        </w:tc>
      </w:tr>
    </w:tbl>
    <w:p>
      <w:pPr>
        <w:pStyle w:val="4"/>
        <w:keepNext w:val="0"/>
        <w:spacing w:before="0" w:after="0" w:line="360" w:lineRule="auto"/>
        <w:rPr>
          <w:rFonts w:ascii="仿宋_GB2312" w:hAnsi="仿宋_GB2312" w:eastAsia="仿宋_GB2312" w:cs="仿宋_GB2312"/>
          <w:b/>
          <w:bCs/>
          <w:sz w:val="28"/>
          <w:szCs w:val="28"/>
        </w:rPr>
      </w:pPr>
      <w:bookmarkStart w:id="28" w:name="_Toc256000026"/>
      <w:r>
        <w:rPr>
          <w:rFonts w:ascii="仿宋_GB2312" w:hAnsi="仿宋_GB2312" w:eastAsia="仿宋_GB2312" w:cs="仿宋_GB2312"/>
          <w:sz w:val="28"/>
          <w:szCs w:val="28"/>
        </w:rPr>
        <w:t>3.3.4通用存储节点2服务器（122台）</w:t>
      </w:r>
      <w:bookmarkEnd w:id="28"/>
    </w:p>
    <w:tbl>
      <w:tblPr>
        <w:tblStyle w:val="9"/>
        <w:tblW w:w="5000" w:type="pct"/>
        <w:tblInd w:w="30" w:type="dxa"/>
        <w:tblLayout w:type="autofit"/>
        <w:tblCellMar>
          <w:top w:w="15" w:type="dxa"/>
          <w:left w:w="15" w:type="dxa"/>
          <w:bottom w:w="15" w:type="dxa"/>
          <w:right w:w="15" w:type="dxa"/>
        </w:tblCellMar>
      </w:tblPr>
      <w:tblGrid>
        <w:gridCol w:w="906"/>
        <w:gridCol w:w="1632"/>
        <w:gridCol w:w="1633"/>
        <w:gridCol w:w="1633"/>
        <w:gridCol w:w="1633"/>
        <w:gridCol w:w="1633"/>
      </w:tblGrid>
      <w:tr>
        <w:tblPrEx>
          <w:tblCellMar>
            <w:top w:w="15" w:type="dxa"/>
            <w:left w:w="15" w:type="dxa"/>
            <w:bottom w:w="15" w:type="dxa"/>
            <w:right w:w="15" w:type="dxa"/>
          </w:tblCellMar>
        </w:tblPrEx>
        <w:tc>
          <w:tcPr>
            <w:tcW w:w="5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序号</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指标种类</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指标名称</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指标内容</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重要性</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是否需要证明材料</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机型要求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机架式服务器，高度≤2U，配置机架式服务器配套导轨</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处理器</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国产处理器，配置≥2颗处理器，单颗CPU核数≥64核，CPU频率≥2.6GHz；</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内存</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内存数量≥32，内存总容量≥1024GB，内存规格DDR4及以上</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单内存容量及内存速率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单内存模块容量≥32G，内存速率≥2666MHz</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硬盘配置</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存储1：配置≥4块7.68TB NVME SSD；存储2：配置≥1块480GB SSD；硬盘支持热插拔</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6</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RAID卡要求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配置≥1*RAID 卡，RAID 卡缓存容量≥2GB</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7</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RAID 级别支持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支持RAID 0, 1, 10, 5, 50, 6, 60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8</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网口速率和数量</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配置≥4个千兆网口，2个万兆光口（包含多模光模块）（1块独立双口10Gb光纤网卡）；</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9</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电源数量及功率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冗余电源：≥2个交流电源，含电源连接线，电源模块功率应有一定冗余，满足处理器满载时的需求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操作系统</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支持麒麟、统信UOS等主流国产化操作系统</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安全要求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关键部件安全要求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CPU 和操作系统等关键部件应当符合安全可靠测评要求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通用要求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政府采购需求标准要求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应满足《通用服务器政府采购需求标准（2023 年版）》中加*的指标要求，由供应商出具承诺书。</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是</w:t>
            </w:r>
          </w:p>
        </w:tc>
      </w:tr>
    </w:tbl>
    <w:p>
      <w:pPr>
        <w:pStyle w:val="4"/>
        <w:keepNext w:val="0"/>
        <w:spacing w:before="0" w:after="0" w:line="360" w:lineRule="auto"/>
        <w:rPr>
          <w:rFonts w:ascii="仿宋_GB2312" w:hAnsi="仿宋_GB2312" w:eastAsia="仿宋_GB2312" w:cs="仿宋_GB2312"/>
          <w:b/>
          <w:bCs/>
          <w:sz w:val="28"/>
          <w:szCs w:val="28"/>
        </w:rPr>
      </w:pPr>
      <w:bookmarkStart w:id="29" w:name="_Toc256000027"/>
      <w:r>
        <w:rPr>
          <w:rFonts w:ascii="仿宋_GB2312" w:hAnsi="仿宋_GB2312" w:eastAsia="仿宋_GB2312" w:cs="仿宋_GB2312"/>
          <w:sz w:val="28"/>
          <w:szCs w:val="28"/>
        </w:rPr>
        <w:t>3.3.5通用存储节点3服务器（4台）</w:t>
      </w:r>
      <w:bookmarkEnd w:id="29"/>
    </w:p>
    <w:tbl>
      <w:tblPr>
        <w:tblStyle w:val="9"/>
        <w:tblW w:w="5000" w:type="pct"/>
        <w:tblInd w:w="30" w:type="dxa"/>
        <w:tblLayout w:type="autofit"/>
        <w:tblCellMar>
          <w:top w:w="15" w:type="dxa"/>
          <w:left w:w="15" w:type="dxa"/>
          <w:bottom w:w="15" w:type="dxa"/>
          <w:right w:w="15" w:type="dxa"/>
        </w:tblCellMar>
      </w:tblPr>
      <w:tblGrid>
        <w:gridCol w:w="906"/>
        <w:gridCol w:w="1632"/>
        <w:gridCol w:w="1633"/>
        <w:gridCol w:w="1633"/>
        <w:gridCol w:w="1633"/>
        <w:gridCol w:w="1633"/>
      </w:tblGrid>
      <w:tr>
        <w:tblPrEx>
          <w:tblCellMar>
            <w:top w:w="15" w:type="dxa"/>
            <w:left w:w="15" w:type="dxa"/>
            <w:bottom w:w="15" w:type="dxa"/>
            <w:right w:w="15" w:type="dxa"/>
          </w:tblCellMar>
        </w:tblPrEx>
        <w:tc>
          <w:tcPr>
            <w:tcW w:w="5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序号</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指标种类</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指标名称</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指标内容</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重要性</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是否需要证明材料</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机型要求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机架式服务器，高度≤2U，配置机架式服务器配套导轨</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处理器</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国产处理器，配置≥2颗处理器，单颗CPU核数≥64核，CPU频率≥2.6GHz。</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内存</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内存数量≥16，内存总容量≥512GB，内存规格DDR4及以上</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单内存容量及内存速率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单内存模块容量≥32G，内存速率≥2666MHz</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硬盘</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存储1：配置≥2块480GB SSD；存储2：配置≥10块4TB SATA HDD；硬盘支持热插拔。</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6</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RAID卡要求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配置≥1*RAID 卡，RAID 卡缓存容量≥2GB</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7</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RAID 级别支持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支持RAID 0, 1, 10, 5, 50, 6, 60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8</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网口速率和数量</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配置≥4个千兆网口，2个万兆光口（包含多模光模块）（1块独立双口10Gb光纤网卡）。</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9</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电源数量及功率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冗余电源：≥2个交流电源，含电源连接线，电源模块功率应有一定冗余，满足处理器满载时的需求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操作系统</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支持麒麟、统信UOS等主流国产化操作系统</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安全要求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关键部件安全要求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CPU 和操作系统等关键部件应当符合安全可靠测评要求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通用要求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政府采购需求标准要求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应满足《通用服务器政府采购需求标准（2023 年版）》中加*的指标要求，由供应商出具承诺书。</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是</w:t>
            </w:r>
          </w:p>
        </w:tc>
      </w:tr>
    </w:tbl>
    <w:p>
      <w:pPr>
        <w:pStyle w:val="4"/>
        <w:keepNext w:val="0"/>
        <w:spacing w:before="0" w:after="0" w:line="360" w:lineRule="auto"/>
        <w:rPr>
          <w:rFonts w:ascii="仿宋_GB2312" w:hAnsi="仿宋_GB2312" w:eastAsia="仿宋_GB2312" w:cs="仿宋_GB2312"/>
          <w:b/>
          <w:bCs/>
          <w:sz w:val="28"/>
          <w:szCs w:val="28"/>
        </w:rPr>
      </w:pPr>
      <w:bookmarkStart w:id="30" w:name="_Toc256000028"/>
      <w:r>
        <w:rPr>
          <w:rFonts w:ascii="仿宋_GB2312" w:hAnsi="仿宋_GB2312" w:eastAsia="仿宋_GB2312" w:cs="仿宋_GB2312"/>
          <w:sz w:val="28"/>
          <w:szCs w:val="28"/>
        </w:rPr>
        <w:t>3.3.6万兆接入交换机（14台）</w:t>
      </w:r>
      <w:bookmarkEnd w:id="30"/>
    </w:p>
    <w:tbl>
      <w:tblPr>
        <w:tblStyle w:val="9"/>
        <w:tblW w:w="5000" w:type="pct"/>
        <w:tblInd w:w="30" w:type="dxa"/>
        <w:tblLayout w:type="autofit"/>
        <w:tblCellMar>
          <w:top w:w="15" w:type="dxa"/>
          <w:left w:w="15" w:type="dxa"/>
          <w:bottom w:w="15" w:type="dxa"/>
          <w:right w:w="15" w:type="dxa"/>
        </w:tblCellMar>
      </w:tblPr>
      <w:tblGrid>
        <w:gridCol w:w="804"/>
        <w:gridCol w:w="1530"/>
        <w:gridCol w:w="1530"/>
        <w:gridCol w:w="2144"/>
        <w:gridCol w:w="1531"/>
        <w:gridCol w:w="1531"/>
      </w:tblGrid>
      <w:tr>
        <w:tblPrEx>
          <w:tblCellMar>
            <w:top w:w="15" w:type="dxa"/>
            <w:left w:w="15" w:type="dxa"/>
            <w:bottom w:w="15" w:type="dxa"/>
            <w:right w:w="15" w:type="dxa"/>
          </w:tblCellMar>
        </w:tblPrEx>
        <w:tc>
          <w:tcPr>
            <w:tcW w:w="5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序号</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指标种类</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指标名称</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指标内容</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重要性</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是否需要证明材料</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基本要求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实配光模块-SFP+-10G-多模模块(850nm,0.3km,LC)≥48个；实配光模块-QSFP+-40G-多模模块(850nm,0.3km,MPO)≥6个；交流电源模块≥2个</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设备类型及高度</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机架式设备，高度≤2U，配置机架式配套导轨</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基本性能</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交换容量：≥4.6Tbps，包转发率：≥2000Mpps</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处理器</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CPU、LSW（处理-转发芯片、交换芯片）均为国产芯片，提供测试报告</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是</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安全指标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可靠性</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支持硬件 BFD故障检测，最小检测间隔≤3.3ms，提供官网截图或第三方测试报告。</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是</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6</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配置和维护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支持Telemetry，提供第三方测试报告。</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是</w:t>
            </w:r>
          </w:p>
        </w:tc>
      </w:tr>
    </w:tbl>
    <w:p>
      <w:pPr>
        <w:pStyle w:val="4"/>
        <w:keepNext w:val="0"/>
        <w:spacing w:before="0" w:after="0" w:line="360" w:lineRule="auto"/>
        <w:rPr>
          <w:rFonts w:ascii="仿宋_GB2312" w:hAnsi="仿宋_GB2312" w:eastAsia="仿宋_GB2312" w:cs="仿宋_GB2312"/>
          <w:b/>
          <w:bCs/>
          <w:sz w:val="28"/>
          <w:szCs w:val="28"/>
        </w:rPr>
      </w:pPr>
      <w:bookmarkStart w:id="31" w:name="_Toc256000029"/>
      <w:r>
        <w:rPr>
          <w:rFonts w:ascii="仿宋_GB2312" w:hAnsi="仿宋_GB2312" w:eastAsia="仿宋_GB2312" w:cs="仿宋_GB2312"/>
          <w:sz w:val="28"/>
          <w:szCs w:val="28"/>
        </w:rPr>
        <w:t>3.3.7千兆接入交换机（7台）</w:t>
      </w:r>
      <w:bookmarkEnd w:id="31"/>
    </w:p>
    <w:tbl>
      <w:tblPr>
        <w:tblStyle w:val="9"/>
        <w:tblW w:w="5000" w:type="pct"/>
        <w:tblInd w:w="30" w:type="dxa"/>
        <w:tblLayout w:type="autofit"/>
        <w:tblCellMar>
          <w:top w:w="15" w:type="dxa"/>
          <w:left w:w="15" w:type="dxa"/>
          <w:bottom w:w="15" w:type="dxa"/>
          <w:right w:w="15" w:type="dxa"/>
        </w:tblCellMar>
      </w:tblPr>
      <w:tblGrid>
        <w:gridCol w:w="825"/>
        <w:gridCol w:w="1551"/>
        <w:gridCol w:w="1551"/>
        <w:gridCol w:w="2039"/>
        <w:gridCol w:w="1552"/>
        <w:gridCol w:w="1552"/>
      </w:tblGrid>
      <w:tr>
        <w:tblPrEx>
          <w:tblCellMar>
            <w:top w:w="15" w:type="dxa"/>
            <w:left w:w="15" w:type="dxa"/>
            <w:bottom w:w="15" w:type="dxa"/>
            <w:right w:w="15" w:type="dxa"/>
          </w:tblCellMar>
        </w:tblPrEx>
        <w:tc>
          <w:tcPr>
            <w:tcW w:w="5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序号</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指标种类</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指标名称</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指标内容</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重要性</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是否需要证明材料</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基本要求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支持10/100/1000Base-T以太网端口≥48个；万兆 SFP+端口≥4个；堆叠口≥2；实配光模块-SFP+-10G-多模模块(850nm,0.3km,LC)≥4个，交流电源模块≥2个</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设备类型及高度</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机架式设备，高度≤1U，配置机架式配套导轨</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基本性能</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交换容量：≥660Gbps，包转发率：≥200Mpps</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处理器</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CPU、LSW（处理-转发芯片、交换芯片）均为国产芯片，提供测试报告</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是</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路由协议</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支持BGP v4；支持BGP4+（IPv6）协议</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bl>
    <w:p>
      <w:pPr>
        <w:pStyle w:val="4"/>
        <w:keepNext w:val="0"/>
        <w:spacing w:before="0" w:after="0" w:line="360" w:lineRule="auto"/>
        <w:rPr>
          <w:rFonts w:ascii="仿宋_GB2312" w:hAnsi="仿宋_GB2312" w:eastAsia="仿宋_GB2312" w:cs="仿宋_GB2312"/>
          <w:b/>
          <w:bCs/>
          <w:sz w:val="28"/>
          <w:szCs w:val="28"/>
        </w:rPr>
      </w:pPr>
      <w:bookmarkStart w:id="32" w:name="_Toc256000030"/>
      <w:r>
        <w:rPr>
          <w:rFonts w:ascii="仿宋_GB2312" w:hAnsi="仿宋_GB2312" w:eastAsia="仿宋_GB2312" w:cs="仿宋_GB2312"/>
          <w:sz w:val="28"/>
          <w:szCs w:val="28"/>
        </w:rPr>
        <w:t>3.3.8运维安全管理设备（2台）</w:t>
      </w:r>
      <w:bookmarkEnd w:id="32"/>
    </w:p>
    <w:tbl>
      <w:tblPr>
        <w:tblStyle w:val="9"/>
        <w:tblW w:w="5000" w:type="pct"/>
        <w:tblInd w:w="30" w:type="dxa"/>
        <w:tblLayout w:type="autofit"/>
        <w:tblCellMar>
          <w:top w:w="15" w:type="dxa"/>
          <w:left w:w="15" w:type="dxa"/>
          <w:bottom w:w="15" w:type="dxa"/>
          <w:right w:w="15" w:type="dxa"/>
        </w:tblCellMar>
      </w:tblPr>
      <w:tblGrid>
        <w:gridCol w:w="888"/>
        <w:gridCol w:w="1614"/>
        <w:gridCol w:w="1614"/>
        <w:gridCol w:w="1724"/>
        <w:gridCol w:w="1615"/>
        <w:gridCol w:w="1615"/>
      </w:tblGrid>
      <w:tr>
        <w:tblPrEx>
          <w:tblCellMar>
            <w:top w:w="15" w:type="dxa"/>
            <w:left w:w="15" w:type="dxa"/>
            <w:bottom w:w="15" w:type="dxa"/>
            <w:right w:w="15" w:type="dxa"/>
          </w:tblCellMar>
        </w:tblPrEx>
        <w:tc>
          <w:tcPr>
            <w:tcW w:w="5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序号</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指标种类</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指标名称</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指标内容</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重要性</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是否需要证明材料</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处理器</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国产处理器，CPU频率≥2.8GHz以上</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设备类型及高度</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机架式设备，高度≤2U，配置机架式配套导轨</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内存</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内存容量≥32G</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硬盘</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存储1：配置≥1块128GB SSD；存储2：配置≥1块4T硬盘</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网口</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配置10/100/1000Base-T自适应以太网端口≥2个或配置1000BASE-X千兆以太网光口≥1个，支持SFP/SFP+光模块插拔</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6</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操作系统</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主流国产操作系统</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7</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设备授权数</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设备授权数≥1000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8</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USBkey</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USBkey≥100 个，用于国密身份鉴别</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9</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国密支持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提供国密SSL证书用于数据传输国密加密；含PCIE 密码卡，用于存储数据国密加密</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双因素认证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支持手机APP动态令牌登录堡垒机；支持第三方平台与双因子认证结合使用；支持只针对部分用户、指定用户开启双因子认证；支持通过外置 Python 代码自定义登录过程及 MFA 二次认证过程</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资产纳管</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具备主流操作系统服务器、网络设备、数据库等资产的纳管；适配国内外主流云产品等云账号下资产的自动同步，同时可对局域网按IP网段进行扫描添加资产。并采用资产树组织资产，当节点资产变化时，自动继承资产授权，按区域/网络对主机进行分组管理。</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权限配置</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用户行为可按照角色进行访问控制；具备组织管理，可以根据项目或者组织架构进行多组织划分，各个组织之间用户、资产、授权相互隔离，独立审计和管理。支持对复制、粘贴，文件上传、下载、删除等动作进行授权控制。</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13</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账号风险监测</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支持定时收集服务器上的账号并识别账号风险，如长时间未登录、弱密码、新增账号、空密码等情况。支持配置第三方应用获取指定账号的密码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14</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会话监控</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具备对运维操作会话的实时阻断、录像回放，包括起止时间、来源用户、来源IP、目标设备、协议/应用类型等信息。具备离线播放资产审计会话</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堡垒机访问</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支持纯浏览器、无插件的运维体验方案；支持Windows、Linux、信创、安卓和Mac等客户端访问。易用性高、门槛低、易于非技术人员快速使用堡垒机上手运维工作。</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16</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审计日志</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具备审计日志，包括但不限于：会话审计、录像审计、命令审计、文件传输审计、用户登录日志、用户操作日志、资产改密日志、资产活动日志、作业日志等。审计日志可以导出。</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bl>
    <w:p>
      <w:pPr>
        <w:pStyle w:val="4"/>
        <w:keepNext w:val="0"/>
        <w:spacing w:before="0" w:after="0" w:line="360" w:lineRule="auto"/>
        <w:rPr>
          <w:rFonts w:ascii="仿宋_GB2312" w:hAnsi="仿宋_GB2312" w:eastAsia="仿宋_GB2312" w:cs="仿宋_GB2312"/>
          <w:b/>
          <w:bCs/>
          <w:sz w:val="28"/>
          <w:szCs w:val="28"/>
        </w:rPr>
      </w:pPr>
      <w:bookmarkStart w:id="33" w:name="_Toc256000031"/>
      <w:r>
        <w:rPr>
          <w:rFonts w:ascii="仿宋_GB2312" w:hAnsi="仿宋_GB2312" w:eastAsia="仿宋_GB2312" w:cs="仿宋_GB2312"/>
          <w:sz w:val="28"/>
          <w:szCs w:val="28"/>
        </w:rPr>
        <w:t>3.3.9Web漏洞设备（1台）</w:t>
      </w:r>
      <w:bookmarkEnd w:id="33"/>
    </w:p>
    <w:tbl>
      <w:tblPr>
        <w:tblStyle w:val="9"/>
        <w:tblW w:w="5000" w:type="pct"/>
        <w:tblInd w:w="30" w:type="dxa"/>
        <w:tblLayout w:type="autofit"/>
        <w:tblCellMar>
          <w:top w:w="15" w:type="dxa"/>
          <w:left w:w="15" w:type="dxa"/>
          <w:bottom w:w="15" w:type="dxa"/>
          <w:right w:w="15" w:type="dxa"/>
        </w:tblCellMar>
      </w:tblPr>
      <w:tblGrid>
        <w:gridCol w:w="906"/>
        <w:gridCol w:w="1632"/>
        <w:gridCol w:w="1633"/>
        <w:gridCol w:w="1633"/>
        <w:gridCol w:w="1633"/>
        <w:gridCol w:w="1633"/>
      </w:tblGrid>
      <w:tr>
        <w:tblPrEx>
          <w:tblCellMar>
            <w:top w:w="15" w:type="dxa"/>
            <w:left w:w="15" w:type="dxa"/>
            <w:bottom w:w="15" w:type="dxa"/>
            <w:right w:w="15" w:type="dxa"/>
          </w:tblCellMar>
        </w:tblPrEx>
        <w:tc>
          <w:tcPr>
            <w:tcW w:w="5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序号</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指标种类</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指标名称</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指标内容</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重要性</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是否需要证明材料</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硬件配置</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国产处理器，CPU≥8核，内存≥32G，冗余电源，系统盘≥256G固态，数据盘≥4T；网络接口管理口≥2个、千兆电口≥4个，网卡扩展槽位≥4个。</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设备类型及高度</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机架式设备，高度≤2U，配置机架式配套导轨</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性能要求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支持并发扫描任务数≥10个，并且支持无限IP授权扫描。</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部署模式</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支持IPv4和IPv6环境的部署和扫描，同时支持容器技术进行软件虚拟化部署，提供便捷良好的兼容性。</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漏洞库数量及功能</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漏洞库数量≥30万个，兼容CVE、CNVD、CNNVD、CWE、Bugtrap、微软KB等主流漏洞标准；产品应支持原理扫描，原理扫描插件≥6600个。</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6</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基础服务扫描</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1.支持针对系统漏洞扫描功能，包含但不限于操作系统、数据库、应用软件、网络设备、安全设备等;</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2.支持针对扫描任务结果中的定向资产类型进行快速创建扫描任务。支持基于系统扫描的结果，对扫描结果中的主机资产、服务资产、域名资产、Web 站点进行深度扫描。</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7</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Web应用扫描</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 支持Web漏洞检查能力，包括但不限于SQL注入、XSS、CSRF、反序列化、LDAP注入、XPath注入、文件上传、水平权限绕过、信息泄露等.支持JS渲染的Web2.0应用，包括JQuery、Ajax、Flash、Applet等Web2.0应用和Vue、React等单页应用。</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2. 支持全局白名单和任务白名单配置，Web扫描可对url进行白名单配置，支持正则格式。</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8</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API扫描</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投标产品应支持OpenAPI漏洞扫描功能，可通过填写目标Swagger链接以及导入离线Swagger文件的方式扫描OpenAPI相关漏洞，支持JSON格式的Swagger文件，支持的Swagger文件大小不低于30M，且扫描任务支持配置请求失败重传次数、最大重定向次数、HTTP请求链接及响应超时时间、单站点并发连接数、每秒最大请求数、页面大小限制、API目标白名单扫描参数。</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9</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弱口令扫描</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支持针对弱口令扫描功能，包含不限于MySQL、SSH、FTP、Telnet、SMTP、WebLogic、Zabbix、phpMyAdmin等协议</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盲打平台</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支持提供盲打反连平台，可配置盲打平台名称、所属组织、通信Token、HTTP服务、RMI服务及DNS配置，以实现fastjson、SSRF、log4j、代理未授权等无回显需要反向连接确定的漏洞的检测，产品不限制可配置盲打平台数量并支持批量管理。</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专项扫描</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支持对国产化漏洞扫描能力，包含但不限于国产主流操作系统、数据库、中间件等。支持物联网漏洞扫描能力，包括但不限于摄像头、打印机、路由器等。支持大数据组件漏洞扫描能力。</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任务管理</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支持历史任务对比报告导出功能，扫描任务对比结果可一键生成word、HTML、PDF、JSON格式的报告，也可按照任务状态、任务名称、任务启动时间、任务所属组织单位等维度自定义选择需要对比的扫描任务以及对应任务下历史某个扫描记录进行扫描结果对比分析。</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13</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综合分析</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支持全局视角分析漏洞状态，包括漏洞的新增分析、漏洞修复分析、资产运行状况分析、资产数据统计分析、资产风险等级分析、风险组织单位分析、业务系统漏洞排名分析、漏洞等级、弱口令漏洞排名分析;支持针对任务的情况进行分析，包括且不限于针对不同扫描策略下发扫描任务的数量分布、最大并发任务数统计、新发现的漏洞数量趋势分析、新发现的资产数量趋势分析、存在漏洞的任务。</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bl>
    <w:p>
      <w:pPr>
        <w:pStyle w:val="4"/>
        <w:keepNext w:val="0"/>
        <w:spacing w:before="0" w:after="0" w:line="360" w:lineRule="auto"/>
        <w:rPr>
          <w:rFonts w:ascii="仿宋_GB2312" w:hAnsi="仿宋_GB2312" w:eastAsia="仿宋_GB2312" w:cs="仿宋_GB2312"/>
          <w:b/>
          <w:bCs/>
          <w:sz w:val="28"/>
          <w:szCs w:val="28"/>
        </w:rPr>
      </w:pPr>
      <w:bookmarkStart w:id="34" w:name="_Toc256000032"/>
      <w:r>
        <w:rPr>
          <w:rFonts w:ascii="仿宋_GB2312" w:hAnsi="仿宋_GB2312" w:eastAsia="仿宋_GB2312" w:cs="仿宋_GB2312"/>
          <w:sz w:val="28"/>
          <w:szCs w:val="28"/>
        </w:rPr>
        <w:t>3.3.10入侵防御设备（IPS）（2台）</w:t>
      </w:r>
      <w:bookmarkEnd w:id="34"/>
    </w:p>
    <w:tbl>
      <w:tblPr>
        <w:tblStyle w:val="9"/>
        <w:tblW w:w="5000" w:type="pct"/>
        <w:tblInd w:w="30" w:type="dxa"/>
        <w:tblLayout w:type="autofit"/>
        <w:tblCellMar>
          <w:top w:w="15" w:type="dxa"/>
          <w:left w:w="15" w:type="dxa"/>
          <w:bottom w:w="15" w:type="dxa"/>
          <w:right w:w="15" w:type="dxa"/>
        </w:tblCellMar>
      </w:tblPr>
      <w:tblGrid>
        <w:gridCol w:w="906"/>
        <w:gridCol w:w="1632"/>
        <w:gridCol w:w="1633"/>
        <w:gridCol w:w="1633"/>
        <w:gridCol w:w="1633"/>
        <w:gridCol w:w="1633"/>
      </w:tblGrid>
      <w:tr>
        <w:tblPrEx>
          <w:tblCellMar>
            <w:top w:w="15" w:type="dxa"/>
            <w:left w:w="15" w:type="dxa"/>
            <w:bottom w:w="15" w:type="dxa"/>
            <w:right w:w="15" w:type="dxa"/>
          </w:tblCellMar>
        </w:tblPrEx>
        <w:tc>
          <w:tcPr>
            <w:tcW w:w="5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序号</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指标种类</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指标名称</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指标内容</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重要性</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是否需要证明材料</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基本要求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国产入侵防御设备，冗余电源。系统配置：串口≥1个、管理口(含管理*1,热备*1)≥2个，千兆光口（满配光模块）≥4个，万兆光口（满配光模块）≥8个，硬盘容量≥256G SSD + 4T SATA</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设备类型及高度</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机架式设备，高度≤2U，配置机架式配套导轨</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性能参数</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系统吞吐量≥30Gbps，应用层吞吐量≥6G，最大并发连接数≥800万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安全防护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 系统攻击特征库数量为14000种以上，可针对网络病毒、蠕虫、间谍软件、木马后门、扫描探测、SQL注入等恶意流量进行检测和阻断，响应方式包括：告警、阻断、IP隔离、抓包等。提供功能截图及攻击特征库数量截图证明。</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2. 支持IP、TCP、UDP、HTTP、POP3、SMTP、QQTCP、QQUDP、FTP协议的规则自定义，至少包含名称、级别、匹配范围、协议类型、协议号、包长度、正则表达式关键字等信息。</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3. 支持对源安全区、目的安全区、IP地址、端口、协议、用户、时间段、动作维度等进行安全检测策略及访问控制策略的配置，并可支持是否生成访问控制策略的会话日志生成。</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4.支持WEB登录图像验证码功能，支持Telnet、SSH、SMB、FTP、RDP、POP3、SMTP、IMAP、HTTP、数据库、XSS扫描、SQL注入、DHCP 限制、VN等协议的暴力猜测防护，检测阈值支持自定义。</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敏感信息检测</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支持敏感数据泄露检测能力，能够识别超过阈值的敏感数据信息如身份证号、银行卡、手机号等。支持关键文件保护功能，包括常用办公文档Excel、PDF、PowerPoint、Word、压缩文件类如CAB、GZIP、RAR、ZIP、JAR等。</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6</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流量管理及分析</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系统应提供灵活的流量管理功能，可以根据用户、应用、目的IP地址、时间及带宽等因素，实现基于应用、面向对象的流量保护策略；系统需支持对超限流量的IP进行一键限速，快速处理异常流量IP。</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7</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服务器异常告警</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系统应提供服务器异常告警功能，可以手动添加或自学习服务器外联行为，并以此为基线检测服务器非法外联行为。</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8</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黑白名单</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系统内置IP及域名黑名单库，并支持手动添加非法IP及域名到黑名单的功能。支持基于IP、源地址、目的地址等信息的白名单功能。</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9</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状态监控</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首页支持展示威胁事件类别分布、类别趋势、TOP入侵事件、TOP入侵事件源、目IP、TOP源IP地理分布等内容，并支持威胁事件的下钻分析。</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日志管理</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 支持按照告警事件的源/目的IP、事件类型等信息，对告警日志执行归并，有效抵御告警风暴。支持在告警日志界面直接添加例外。日志导出格式包括单不限于HTML、WORD、EXCEL、CSV等。</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2. 支持多个syslog服务器发送日志，支持选择外发的日志类型，包括审计日志、入侵事件日志、恶意文件日志、敏感传输日志、高级恶意样本日志、C&amp;C通信日志、IP黑名单日志、服务器异常日志、设备日志。</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报表管理</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内置不少于5种报表模板，并支持模板自定义，可设置报表封面、logo、日志类型、过滤条件、执行周期、数据统计区间、报表格式（PDF、html、docx、xlsx等）和输出方式（本地存储、邮件外发或FTP外发等）。</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产品资质</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提供由公安部颁发的网络安全专用产品安全检测证书（提供复印件证明材料）</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是</w:t>
            </w:r>
          </w:p>
        </w:tc>
      </w:tr>
    </w:tbl>
    <w:p>
      <w:pPr>
        <w:pStyle w:val="4"/>
        <w:keepNext w:val="0"/>
        <w:spacing w:before="0" w:after="0" w:line="360" w:lineRule="auto"/>
        <w:rPr>
          <w:rFonts w:ascii="仿宋_GB2312" w:hAnsi="仿宋_GB2312" w:eastAsia="仿宋_GB2312" w:cs="仿宋_GB2312"/>
          <w:b/>
          <w:bCs/>
          <w:sz w:val="28"/>
          <w:szCs w:val="28"/>
        </w:rPr>
      </w:pPr>
      <w:bookmarkStart w:id="35" w:name="_Toc256000033"/>
      <w:r>
        <w:rPr>
          <w:rFonts w:ascii="仿宋_GB2312" w:hAnsi="仿宋_GB2312" w:eastAsia="仿宋_GB2312" w:cs="仿宋_GB2312"/>
          <w:sz w:val="28"/>
          <w:szCs w:val="28"/>
        </w:rPr>
        <w:t>3.3.11流量监控设备（2台）</w:t>
      </w:r>
      <w:bookmarkEnd w:id="35"/>
    </w:p>
    <w:tbl>
      <w:tblPr>
        <w:tblStyle w:val="9"/>
        <w:tblW w:w="5000" w:type="pct"/>
        <w:tblInd w:w="30" w:type="dxa"/>
        <w:tblLayout w:type="autofit"/>
        <w:tblCellMar>
          <w:top w:w="15" w:type="dxa"/>
          <w:left w:w="15" w:type="dxa"/>
          <w:bottom w:w="15" w:type="dxa"/>
          <w:right w:w="15" w:type="dxa"/>
        </w:tblCellMar>
      </w:tblPr>
      <w:tblGrid>
        <w:gridCol w:w="804"/>
        <w:gridCol w:w="1530"/>
        <w:gridCol w:w="1530"/>
        <w:gridCol w:w="2144"/>
        <w:gridCol w:w="1531"/>
        <w:gridCol w:w="1531"/>
      </w:tblGrid>
      <w:tr>
        <w:tblPrEx>
          <w:tblCellMar>
            <w:top w:w="15" w:type="dxa"/>
            <w:left w:w="15" w:type="dxa"/>
            <w:bottom w:w="15" w:type="dxa"/>
            <w:right w:w="15" w:type="dxa"/>
          </w:tblCellMar>
        </w:tblPrEx>
        <w:tc>
          <w:tcPr>
            <w:tcW w:w="5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序号</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指标种类</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指标名称</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指标内容</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重要性</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是否需要证明材料</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硬件规格</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国产流量监控设备，且设备数据包存储容量≥80TB。国产化处理器，CPU核数≥24核，CPU频率≥2.6GHz，内存≥128GB，硬盘≥960GB SSD，万兆接口≥2*10GE（满配光模块），千兆接口≥4*GE，冗余电源。系统全部采用B/S架构进行统一的操作、配置和管理，兼容在国产客户端上登录和运维。</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设备类型及高度</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机架式设备，高度≤2U，配置机架式配套导轨</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产品许可</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需具备有效的《计算机信息系统安全专用产品销售许可证》或《网络关键设备和网络安全专用产品安全认证证书》或《网络安全专用产品安全检测证书》。</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是</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产品协议</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产品支持IPv6 协议。</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产品资质</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设备的CPU符合安全可靠等级I级或Ⅱ级。（所投产品CPU型号需在中国信息安全测评中心发布的《安全可靠测评结果公告》目录中，提供所投产品证明材料）</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是</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6</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数据包捕获</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 支持100%精准可靠的网络流量数据包捕获，单台设备并发流处理性能1000万个以上，新建流处理性能不低于2万个/秒。</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2. 支持根据五元组、VLAN、BPF语法条件等信息设定捕获过滤规则。</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7</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数据包存储</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 单台设备在功能全开启情况下的流量捕获、全包存储、流量分析处理、网络流量统计（包括网络负载、性能等）吞吐性能不低于5Gbps，数据包100%进行全包存储、无截断、无丢包。（提供功能截图）。</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2. 支持数据包压缩存储，全流量存储到硬盘时，可以选择压缩/不压缩，能够展示总存储容量，当前已用存储容量/压缩比，近24小时流量存储占用/压缩比，近1小时流量存储占用/压缩比，近10分钟流量存储占用/压缩比。</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3. 支持采集HTTP会话消息体策略配置，可按照URL、数据包、图片、文档文件、压缩文件、文本文件、视频文件、音频文件、可执行文件等类型，分别设置截断长度，例如可对某个URL的消息体设置仅采集前512字节。</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4. 支持数据包加密存储，加密的方法可以选择SM4国密算法加密、AES(128,192,256)对称加密算法，以及CBC、ECB加密格式。</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5. 支持根据五元组、VLAN、不同的应用进行存储策略设定，包括不存储、包截断存储、会话截断存储和全包存储，包截断存储支持按照网络层头、传输层头截断或指定长度截断；会话截断存储支持配置按照会话仅存储前N个报文和配置报文是否截断及截断长度，并支持基于HTTP、TLS/SSL的智能协议存储。</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是</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8</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数据包检索</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 支持根据五元组等进行高速流检索和报文获取，单台设备的数据包检索性能不低于50TB/s。检索结果中应能体现详细信息，包括检索范围、检索耗时、检索到的数据包数和会话数量。（提供功能截图证明）。</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2. 支持根据特征数据（ASCII值、16进制、中文、正则表达式）对数据包进行检索，检索查询到的数据报文支持在线分析，在线分析的风格符合主流的报文分析工具wireshark。</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是</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9</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流量监控</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1.支持将1到n个物理接口配置为一个网络，按照网络维度对接收的流量进行统计分析；支持将多个物理接口划定到一个逻辑网络中，支持根据IP、MAC、VLAN、MPLS、VXLAN、GRE创建子网进行独立分析。</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2.支持应用层协议元数据解析，包括但不限于HTTP、DNS、FTP、MAIL（IMAP/POP3/SMTP）、TELNET、SSL、SSH、ARP、OSPF、SIP、LDAP、DB2、SMB、等协议分析。</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3.支持HTTP登录详单的提取，并支持根据弱口令字典判定登录密码是否为弱密码；支持弱口令配置。支持记录HTTP会话的响应时延，并可进行正反排序，以及进行统计计数，以快速发现HTTP业务响应缓慢的问题。</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溯源分析</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 支持IP画像，对重点IP集中展示来访的IP、外访的IP、开放的端口、外访的端口、应用流量统计、连接源会话数和数量、连接目标会话数和数量。</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2. 支持基于API资产识别统计的URI访问次数、正常响应次数、错误响应次数、请求大小、响应大小等参数设定交易流量体积模型基线和频次模型基线，发现交易中的异常。</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3. 支持自动关联会话NAT前后的源IP、目的IP、源端口、目的端口的映射关系，不依赖于人工配置NAT对应关系、或NAT日志即可实现自动NAT映射关系匹配。支持通过对TCP选项内容读取IP及端口号，进行NAT自动关联分析。</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数据共享</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 支持通过Syslog/Kafka/ZMQ等协议，将满足筛选条件的会话日志和协议元数据外发到外部服务器；支持将HTTP会话的REQ_HEADER_RAW、REQ_BODY_RAW、RSP_HEADER_RAW、RSP_HEADER_BODY (unzip和untrunked)、请求实体内容长度、响应实体内容长度等字段筛选后通过syslog、kafka、zmq等方式进行外发。</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2. 支持将接收的网络流量进行实时转发，在数据报文捕获分析的同时，能够自定义转发规则，包括BPF、流规则，将符合规则的流量转发到物理网卡上，单台设备支持以5Gbps速率进行转发，转发时支持增加GRE、VXLAN封装。</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3. 支持将检索查询到的历史数据报文回放到指定的物理网卡上，支持灵活选择需回放的数据包，回放条件支持起止时间、采集接口、BPF语法过滤规则、基于报文内容匹配、基于流的六元组、MAC地址、应用、协议、归属地等过滤规则。支持设定回放速率，将原始流量按需进行加速或者减速回放，回放速率支持配置包速率或字节速率，单台设备支持5Gbps网卡回放。回放过程支持增加GRE、VXLAN的隧道封装。回放过程支持增加、修改VLAN标识。</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bl>
    <w:p>
      <w:pPr>
        <w:pStyle w:val="4"/>
        <w:keepNext w:val="0"/>
        <w:spacing w:before="0" w:after="0" w:line="360" w:lineRule="auto"/>
        <w:rPr>
          <w:rFonts w:ascii="仿宋_GB2312" w:hAnsi="仿宋_GB2312" w:eastAsia="仿宋_GB2312" w:cs="仿宋_GB2312"/>
          <w:b/>
          <w:bCs/>
          <w:sz w:val="28"/>
          <w:szCs w:val="28"/>
        </w:rPr>
      </w:pPr>
      <w:bookmarkStart w:id="36" w:name="_Toc256000034"/>
      <w:r>
        <w:rPr>
          <w:rFonts w:ascii="仿宋_GB2312" w:hAnsi="仿宋_GB2312" w:eastAsia="仿宋_GB2312" w:cs="仿宋_GB2312"/>
          <w:sz w:val="28"/>
          <w:szCs w:val="28"/>
        </w:rPr>
        <w:t>3.3.12精密空调（2台）</w:t>
      </w:r>
      <w:bookmarkEnd w:id="36"/>
      <w:r>
        <w:rPr>
          <w:rFonts w:ascii="仿宋_GB2312" w:hAnsi="仿宋_GB2312" w:eastAsia="仿宋_GB2312" w:cs="仿宋_GB2312"/>
          <w:sz w:val="28"/>
          <w:szCs w:val="28"/>
        </w:rPr>
        <w:t xml:space="preserve"> </w:t>
      </w:r>
    </w:p>
    <w:tbl>
      <w:tblPr>
        <w:tblStyle w:val="9"/>
        <w:tblW w:w="5000" w:type="pct"/>
        <w:tblInd w:w="30" w:type="dxa"/>
        <w:tblLayout w:type="autofit"/>
        <w:tblCellMar>
          <w:top w:w="15" w:type="dxa"/>
          <w:left w:w="15" w:type="dxa"/>
          <w:bottom w:w="15" w:type="dxa"/>
          <w:right w:w="15" w:type="dxa"/>
        </w:tblCellMar>
      </w:tblPr>
      <w:tblGrid>
        <w:gridCol w:w="846"/>
        <w:gridCol w:w="1572"/>
        <w:gridCol w:w="1572"/>
        <w:gridCol w:w="1934"/>
        <w:gridCol w:w="1573"/>
        <w:gridCol w:w="1573"/>
      </w:tblGrid>
      <w:tr>
        <w:tblPrEx>
          <w:tblCellMar>
            <w:top w:w="15" w:type="dxa"/>
            <w:left w:w="15" w:type="dxa"/>
            <w:bottom w:w="15" w:type="dxa"/>
            <w:right w:w="15" w:type="dxa"/>
          </w:tblCellMar>
        </w:tblPrEx>
        <w:tc>
          <w:tcPr>
            <w:tcW w:w="5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序号</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指标种类</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指标名称</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指标内容</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重要性</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是否需要证明材料</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节能认证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投标人所投机房精密空调必须具有节能产品认证证书，并提供依据国家确定的认证机构出具的、处于有效期之内的节能产品认证证书复印件，否则投标无效。</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是</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制冷量</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所投产品为机房房间级精密恒温恒湿空调，制冷量≥50KW且显冷量≥50KW；提供制冷量、显冷量检测报告或证明材料。</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是</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产品质量</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机房精密空调产品必须是单一厂家自研生产</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制冷方式</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机房精密空调冷却方式为风冷，下送风。</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环境温度</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机房精密空调机组可在以下环境温度下正常运行：温度：室内 0℃至35℃；室外 -35℃至45℃;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6</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产品外观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机房精密空调设备外观满足表面应采用耐高温、耐腐蚀材料喷层，并且喷涂均匀、无破损；机组可全正面维护；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7</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压缩机</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机房精密空调压缩机具有高效节能性，具有较高的能效比，采用高质量压缩机可按照机房负荷动态自动调节冷量,压缩机转速可在一定范围内进行自动调节。压缩机数量≥2。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8</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室外风机</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机房精密空调风机型式：室内风机为EC变频风机,数量≥2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9</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内机尺寸</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室内机尺寸最大值（宽×深×高mm）≤2000×1000×2000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送风量</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风量≥14000立方米每小时</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氟泵节能</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机房精密空调应配氟泵节能系统，可实现利用自然冷达到节能的效果，氟泵数量≥2；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空调性能</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机房精密空调应能按要求自动调节室内温、湿度，具有制冷、加湿、加热、除湿等功能</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13</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制冷剂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机房精密空调制冷剂应采用环保制冷剂R410A</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14</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电子膨胀阀</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机房精密空调采用电子膨胀阀，且为双系统配置。</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控制系统</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机房精密空调控制系统为空调生产厂商自主研发产品，显示器为不小于7寸LCD触摸大屏幕多行中文显示。</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16</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工作模式</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机房精密空调工作模式需满足 1) 单独变频压缩机模式；2) 压缩机和氟泵混合使用模式；3) 单独氟泵自然冷模式。</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17</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室外机</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机房精密空调室外机采用模块化集中式冷凝器，冷凝风机可以自动调节转速。符合节省占地面积、节能、易扩容的要求。室外机数量≥2。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18</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外机距离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机房精密空调在室外机距离室内主机水平距离不小于80米长配管的情况下，制冷能力衰减≤5%。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19</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加湿性能</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机房精密空调机房精密空调的加湿性能：加湿器加湿量不少于每小时10kg。</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监控警告</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机房精密空调配备漏水探测器、实时监测漏水情况，探知漏水发生时，声光报警并自动关闭加湿系统。</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抗震性能</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机房精密空调产品抗震等级达到8烈度及以上。</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p>
        </w:tc>
      </w:tr>
    </w:tbl>
    <w:p>
      <w:pPr>
        <w:pStyle w:val="4"/>
        <w:keepNext w:val="0"/>
        <w:spacing w:before="0" w:after="0" w:line="360" w:lineRule="auto"/>
        <w:rPr>
          <w:rFonts w:ascii="仿宋_GB2312" w:hAnsi="仿宋_GB2312" w:eastAsia="仿宋_GB2312" w:cs="仿宋_GB2312"/>
          <w:b/>
          <w:bCs/>
          <w:sz w:val="28"/>
          <w:szCs w:val="28"/>
        </w:rPr>
      </w:pPr>
      <w:bookmarkStart w:id="37" w:name="_Toc256000035"/>
      <w:r>
        <w:rPr>
          <w:rFonts w:ascii="仿宋_GB2312" w:hAnsi="仿宋_GB2312" w:eastAsia="仿宋_GB2312" w:cs="仿宋_GB2312"/>
          <w:sz w:val="28"/>
          <w:szCs w:val="28"/>
        </w:rPr>
        <w:t>3.3.13硬件集成实施要求</w:t>
      </w:r>
      <w:bookmarkEnd w:id="37"/>
    </w:p>
    <w:p>
      <w:pPr>
        <w:pStyle w:val="12"/>
        <w:spacing w:before="0" w:after="0" w:line="360" w:lineRule="auto"/>
        <w:ind w:left="0" w:right="0" w:firstLine="560"/>
        <w:jc w:val="both"/>
      </w:pPr>
      <w:r>
        <w:rPr>
          <w:rFonts w:ascii="方正仿宋_GB2312" w:hAnsi="方正仿宋_GB2312" w:eastAsia="方正仿宋_GB2312" w:cs="方正仿宋_GB2312"/>
          <w:sz w:val="28"/>
          <w:szCs w:val="28"/>
        </w:rPr>
        <w:t>投标人按采购人要求完成全部硬件设备的安装、调试、测试、部署、试运行等集成实施服务。投标人免费提供实施中所需所有线缆辅料（包括但不限于光纤模块、光纤、双绞线、电源线、空调管线等）及所需工具。具体服务内容包括下列内容：</w:t>
      </w:r>
    </w:p>
    <w:p>
      <w:pPr>
        <w:pStyle w:val="5"/>
        <w:keepNext w:val="0"/>
        <w:spacing w:before="0" w:after="0" w:line="360" w:lineRule="auto"/>
        <w:rPr>
          <w:rFonts w:ascii="仿宋_GB2312" w:hAnsi="仿宋_GB2312" w:eastAsia="仿宋_GB2312" w:cs="仿宋_GB2312"/>
          <w:b/>
          <w:bCs/>
          <w:sz w:val="28"/>
          <w:szCs w:val="28"/>
        </w:rPr>
      </w:pPr>
      <w:r>
        <w:rPr>
          <w:rFonts w:ascii="仿宋_GB2312" w:hAnsi="仿宋_GB2312" w:eastAsia="仿宋_GB2312" w:cs="仿宋_GB2312"/>
        </w:rPr>
        <w:t>3.3.13.1云平台硬件集成实施服务</w:t>
      </w:r>
    </w:p>
    <w:p>
      <w:pPr>
        <w:pStyle w:val="12"/>
        <w:spacing w:before="0" w:after="0" w:line="360" w:lineRule="auto"/>
        <w:ind w:left="0" w:right="0"/>
        <w:jc w:val="both"/>
      </w:pPr>
      <w:r>
        <w:rPr>
          <w:rFonts w:ascii="方正仿宋_GB2312" w:hAnsi="方正仿宋_GB2312" w:eastAsia="方正仿宋_GB2312" w:cs="方正仿宋_GB2312"/>
          <w:b/>
          <w:bCs/>
          <w:sz w:val="28"/>
          <w:szCs w:val="28"/>
        </w:rPr>
        <w:t>    3.3.13.1.1云平台基础设施高阶设计服务</w:t>
      </w:r>
    </w:p>
    <w:p>
      <w:pPr>
        <w:pStyle w:val="12"/>
        <w:spacing w:before="0" w:after="0" w:line="360" w:lineRule="auto"/>
        <w:ind w:left="0" w:right="0" w:firstLine="560"/>
        <w:jc w:val="both"/>
      </w:pPr>
      <w:r>
        <w:rPr>
          <w:rFonts w:ascii="方正仿宋_GB2312" w:hAnsi="方正仿宋_GB2312" w:eastAsia="方正仿宋_GB2312" w:cs="方正仿宋_GB2312"/>
          <w:sz w:val="28"/>
          <w:szCs w:val="28"/>
        </w:rPr>
        <w:t>基于采购人云平台与业务系统的特点提供最佳网络规划方案，输出《网络高阶设计方案》并完成方案评审确认。设计方案应依据项目需求包括但不局限以下内容：</w:t>
      </w:r>
    </w:p>
    <w:p>
      <w:pPr>
        <w:pStyle w:val="12"/>
        <w:spacing w:before="0" w:after="0" w:line="360" w:lineRule="auto"/>
        <w:ind w:left="0" w:right="0" w:firstLine="560"/>
        <w:jc w:val="both"/>
      </w:pPr>
      <w:r>
        <w:rPr>
          <w:rFonts w:ascii="方正仿宋_GB2312" w:hAnsi="方正仿宋_GB2312" w:eastAsia="方正仿宋_GB2312" w:cs="方正仿宋_GB2312"/>
          <w:sz w:val="28"/>
          <w:szCs w:val="28"/>
        </w:rPr>
        <w:t>（1）整体网络架构设计。包含整体网络架构图和说明。</w:t>
      </w:r>
    </w:p>
    <w:p>
      <w:pPr>
        <w:pStyle w:val="12"/>
        <w:spacing w:before="0" w:after="0" w:line="360" w:lineRule="auto"/>
        <w:ind w:left="0" w:right="0" w:firstLine="560"/>
        <w:jc w:val="both"/>
      </w:pPr>
      <w:r>
        <w:rPr>
          <w:rFonts w:ascii="方正仿宋_GB2312" w:hAnsi="方正仿宋_GB2312" w:eastAsia="方正仿宋_GB2312" w:cs="方正仿宋_GB2312"/>
          <w:sz w:val="28"/>
          <w:szCs w:val="28"/>
        </w:rPr>
        <w:t>（2）各分区网络详细架构设计。依据项目范围提供数据中心网络、互联网出口、专线接入网、管理网的网络架构设计。</w:t>
      </w:r>
    </w:p>
    <w:p>
      <w:pPr>
        <w:pStyle w:val="12"/>
        <w:spacing w:before="0" w:after="0" w:line="360" w:lineRule="auto"/>
        <w:ind w:left="0" w:right="0" w:firstLine="560"/>
        <w:jc w:val="both"/>
      </w:pPr>
      <w:r>
        <w:rPr>
          <w:rFonts w:ascii="方正仿宋_GB2312" w:hAnsi="方正仿宋_GB2312" w:eastAsia="方正仿宋_GB2312" w:cs="方正仿宋_GB2312"/>
          <w:sz w:val="28"/>
          <w:szCs w:val="28"/>
        </w:rPr>
        <w:t>（3）云上网络规划设计。提供云上网络的规划方案，如VPC划分原则、专线通道规划、网关规划。</w:t>
      </w:r>
    </w:p>
    <w:p>
      <w:pPr>
        <w:pStyle w:val="12"/>
        <w:spacing w:before="0" w:after="0" w:line="360" w:lineRule="auto"/>
        <w:ind w:left="0" w:right="0" w:firstLine="560"/>
        <w:jc w:val="both"/>
      </w:pPr>
      <w:r>
        <w:rPr>
          <w:rFonts w:ascii="方正仿宋_GB2312" w:hAnsi="方正仿宋_GB2312" w:eastAsia="方正仿宋_GB2312" w:cs="方正仿宋_GB2312"/>
          <w:sz w:val="28"/>
          <w:szCs w:val="28"/>
        </w:rPr>
        <w:t>（4）网络资源规划与规范。提供IP、VLAN、BGPAS号等网络资源的规划。</w:t>
      </w:r>
    </w:p>
    <w:p>
      <w:pPr>
        <w:pStyle w:val="12"/>
        <w:spacing w:before="0" w:after="0" w:line="360" w:lineRule="auto"/>
        <w:ind w:left="0" w:right="0"/>
        <w:jc w:val="both"/>
      </w:pPr>
      <w:r>
        <w:rPr>
          <w:rFonts w:ascii="方正仿宋_GB2312" w:hAnsi="方正仿宋_GB2312" w:eastAsia="方正仿宋_GB2312" w:cs="方正仿宋_GB2312"/>
          <w:b/>
          <w:bCs/>
          <w:sz w:val="28"/>
          <w:szCs w:val="28"/>
        </w:rPr>
        <w:t>    3.3.13.1.2云平台基础设施低阶设计服务</w:t>
      </w:r>
    </w:p>
    <w:p>
      <w:pPr>
        <w:pStyle w:val="12"/>
        <w:spacing w:before="0" w:after="0" w:line="360" w:lineRule="auto"/>
        <w:ind w:left="0" w:right="0" w:firstLine="560"/>
        <w:jc w:val="both"/>
      </w:pPr>
      <w:r>
        <w:rPr>
          <w:rFonts w:ascii="方正仿宋_GB2312" w:hAnsi="方正仿宋_GB2312" w:eastAsia="方正仿宋_GB2312" w:cs="方正仿宋_GB2312"/>
          <w:sz w:val="28"/>
          <w:szCs w:val="28"/>
        </w:rPr>
        <w:t>基于高阶设计服务输出的《网络高阶设计方案》进行深化设计，根据机房和网络环境输出各项低阶设计工程文档和测试方案。</w:t>
      </w:r>
    </w:p>
    <w:p>
      <w:pPr>
        <w:pStyle w:val="12"/>
        <w:spacing w:before="0" w:after="0" w:line="360" w:lineRule="auto"/>
        <w:ind w:left="0" w:right="0" w:firstLine="560"/>
        <w:jc w:val="both"/>
      </w:pPr>
      <w:r>
        <w:rPr>
          <w:rFonts w:ascii="方正仿宋_GB2312" w:hAnsi="方正仿宋_GB2312" w:eastAsia="方正仿宋_GB2312" w:cs="方正仿宋_GB2312"/>
          <w:sz w:val="28"/>
          <w:szCs w:val="28"/>
        </w:rPr>
        <w:t>（1）输出的工程文档包含《连接关系表》、《IP分配表》、《设备上架表》、网络设备配置模版、网络设备实施脚本、《线材规划表》、CMDB表格。</w:t>
      </w:r>
    </w:p>
    <w:p>
      <w:pPr>
        <w:pStyle w:val="12"/>
        <w:spacing w:before="0" w:after="0" w:line="360" w:lineRule="auto"/>
        <w:ind w:left="0" w:right="0" w:firstLine="560"/>
        <w:jc w:val="both"/>
      </w:pPr>
      <w:r>
        <w:rPr>
          <w:rFonts w:ascii="方正仿宋_GB2312" w:hAnsi="方正仿宋_GB2312" w:eastAsia="方正仿宋_GB2312" w:cs="方正仿宋_GB2312"/>
          <w:sz w:val="28"/>
          <w:szCs w:val="28"/>
        </w:rPr>
        <w:t>（2）根据《网络高阶设计方案》输出网络测试方案，用于指导实施工程师在网络调试完成后执行测试，验证网络的运行状态和故障切换行为符合预期。</w:t>
      </w:r>
    </w:p>
    <w:p>
      <w:pPr>
        <w:pStyle w:val="12"/>
        <w:spacing w:before="0" w:after="0" w:line="360" w:lineRule="auto"/>
        <w:ind w:left="0" w:right="0"/>
        <w:jc w:val="both"/>
      </w:pPr>
      <w:r>
        <w:rPr>
          <w:rFonts w:ascii="方正仿宋_GB2312" w:hAnsi="方正仿宋_GB2312" w:eastAsia="方正仿宋_GB2312" w:cs="方正仿宋_GB2312"/>
          <w:b/>
          <w:bCs/>
          <w:sz w:val="28"/>
          <w:szCs w:val="28"/>
        </w:rPr>
        <w:t>    3.3.13.1.3云平台基础设施低阶部署实施服务</w:t>
      </w:r>
    </w:p>
    <w:p>
      <w:pPr>
        <w:pStyle w:val="12"/>
        <w:spacing w:before="0" w:after="0" w:line="360" w:lineRule="auto"/>
        <w:ind w:left="0" w:right="0" w:firstLine="560"/>
        <w:jc w:val="both"/>
      </w:pPr>
      <w:r>
        <w:rPr>
          <w:rFonts w:ascii="方正仿宋_GB2312" w:hAnsi="方正仿宋_GB2312" w:eastAsia="方正仿宋_GB2312" w:cs="方正仿宋_GB2312"/>
          <w:sz w:val="28"/>
          <w:szCs w:val="28"/>
        </w:rPr>
        <w:t>对本项目硬件设备所部署机房环境进行工勘，依托云平台与业务规划、服务器配置要求、低阶设计方案，制定低阶及基础设施交付计划，完成综合布线工作，指导硬件厂商进行设备上架、服务器配置核对及网络实施和联调。低阶部署实施具体包含以下工作内容：</w:t>
      </w:r>
    </w:p>
    <w:p>
      <w:pPr>
        <w:pStyle w:val="12"/>
        <w:spacing w:before="0" w:after="0" w:line="360" w:lineRule="auto"/>
        <w:ind w:left="0" w:right="0" w:firstLine="560"/>
        <w:jc w:val="both"/>
      </w:pPr>
      <w:r>
        <w:rPr>
          <w:rFonts w:ascii="方正仿宋_GB2312" w:hAnsi="方正仿宋_GB2312" w:eastAsia="方正仿宋_GB2312" w:cs="方正仿宋_GB2312"/>
          <w:sz w:val="28"/>
          <w:szCs w:val="28"/>
        </w:rPr>
        <w:t>（1）机房现场勘查；</w:t>
      </w:r>
    </w:p>
    <w:p>
      <w:pPr>
        <w:pStyle w:val="12"/>
        <w:spacing w:before="0" w:after="0" w:line="360" w:lineRule="auto"/>
        <w:ind w:left="0" w:right="0" w:firstLine="560"/>
        <w:jc w:val="both"/>
      </w:pPr>
      <w:r>
        <w:rPr>
          <w:rFonts w:ascii="方正仿宋_GB2312" w:hAnsi="方正仿宋_GB2312" w:eastAsia="方正仿宋_GB2312" w:cs="方正仿宋_GB2312"/>
          <w:sz w:val="28"/>
          <w:szCs w:val="28"/>
        </w:rPr>
        <w:t>（2）低阶及基础设施交付计划制定；</w:t>
      </w:r>
    </w:p>
    <w:p>
      <w:pPr>
        <w:pStyle w:val="12"/>
        <w:spacing w:before="0" w:after="0" w:line="360" w:lineRule="auto"/>
        <w:ind w:left="0" w:right="0" w:firstLine="560"/>
        <w:jc w:val="both"/>
      </w:pPr>
      <w:r>
        <w:rPr>
          <w:rFonts w:ascii="方正仿宋_GB2312" w:hAnsi="方正仿宋_GB2312" w:eastAsia="方正仿宋_GB2312" w:cs="方正仿宋_GB2312"/>
          <w:sz w:val="28"/>
          <w:szCs w:val="28"/>
        </w:rPr>
        <w:t>（3）低阶及基础设施交付计划的现场管理；</w:t>
      </w:r>
    </w:p>
    <w:p>
      <w:pPr>
        <w:pStyle w:val="12"/>
        <w:spacing w:before="0" w:after="0" w:line="360" w:lineRule="auto"/>
        <w:ind w:left="0" w:right="0" w:firstLine="560"/>
        <w:jc w:val="both"/>
      </w:pPr>
      <w:r>
        <w:rPr>
          <w:rFonts w:ascii="方正仿宋_GB2312" w:hAnsi="方正仿宋_GB2312" w:eastAsia="方正仿宋_GB2312" w:cs="方正仿宋_GB2312"/>
          <w:sz w:val="28"/>
          <w:szCs w:val="28"/>
        </w:rPr>
        <w:t>（4）提供服务器配置检查方案，指导硬件厂商服务器配置核对、修正和改造。</w:t>
      </w:r>
    </w:p>
    <w:p>
      <w:pPr>
        <w:pStyle w:val="12"/>
        <w:spacing w:before="0" w:after="0" w:line="360" w:lineRule="auto"/>
        <w:ind w:left="0" w:right="0" w:firstLine="560"/>
        <w:jc w:val="both"/>
      </w:pPr>
      <w:r>
        <w:rPr>
          <w:rFonts w:ascii="方正仿宋_GB2312" w:hAnsi="方正仿宋_GB2312" w:eastAsia="方正仿宋_GB2312" w:cs="方正仿宋_GB2312"/>
          <w:sz w:val="28"/>
          <w:szCs w:val="28"/>
        </w:rPr>
        <w:t>（5）输出线材采购清单，提供给硬件厂商进行线材采购；</w:t>
      </w:r>
    </w:p>
    <w:p>
      <w:pPr>
        <w:pStyle w:val="12"/>
        <w:spacing w:before="0" w:after="0" w:line="360" w:lineRule="auto"/>
        <w:ind w:left="0" w:right="0" w:firstLine="560"/>
        <w:jc w:val="both"/>
      </w:pPr>
      <w:r>
        <w:rPr>
          <w:rFonts w:ascii="方正仿宋_GB2312" w:hAnsi="方正仿宋_GB2312" w:eastAsia="方正仿宋_GB2312" w:cs="方正仿宋_GB2312"/>
          <w:sz w:val="28"/>
          <w:szCs w:val="28"/>
        </w:rPr>
        <w:t>（6）负责输出网络设计方案和网络配置脚本，指导设备厂商完成网络配置刷入、联调测试和高可用测试；</w:t>
      </w:r>
    </w:p>
    <w:p>
      <w:pPr>
        <w:pStyle w:val="12"/>
        <w:spacing w:before="0" w:after="0" w:line="360" w:lineRule="auto"/>
        <w:ind w:left="0" w:right="0" w:firstLine="560"/>
        <w:jc w:val="both"/>
      </w:pPr>
      <w:r>
        <w:rPr>
          <w:rFonts w:ascii="方正仿宋_GB2312" w:hAnsi="方正仿宋_GB2312" w:eastAsia="方正仿宋_GB2312" w:cs="方正仿宋_GB2312"/>
          <w:sz w:val="28"/>
          <w:szCs w:val="28"/>
        </w:rPr>
        <w:t>（7）完成综合布线交付（不含硬件设备电源线及硬件标签）；</w:t>
      </w:r>
    </w:p>
    <w:p>
      <w:pPr>
        <w:pStyle w:val="12"/>
        <w:spacing w:before="0" w:after="0" w:line="360" w:lineRule="auto"/>
        <w:ind w:left="0" w:right="0" w:firstLine="560"/>
        <w:jc w:val="both"/>
      </w:pPr>
      <w:r>
        <w:rPr>
          <w:rFonts w:ascii="方正仿宋_GB2312" w:hAnsi="方正仿宋_GB2312" w:eastAsia="方正仿宋_GB2312" w:cs="方正仿宋_GB2312"/>
          <w:sz w:val="28"/>
          <w:szCs w:val="28"/>
        </w:rPr>
        <w:t>（8）输出并网方案，指导硬件厂商进行服务器、网络系统联调测试，以及与</w:t>
      </w:r>
      <w:r>
        <w:rPr>
          <w:rFonts w:hint="eastAsia" w:ascii="方正仿宋_GB2312" w:hAnsi="方正仿宋_GB2312" w:eastAsia="方正仿宋_GB2312" w:cs="方正仿宋_GB2312"/>
          <w:sz w:val="28"/>
          <w:szCs w:val="28"/>
          <w:lang w:eastAsia="zh-CN"/>
        </w:rPr>
        <w:t>采购人</w:t>
      </w:r>
      <w:r>
        <w:rPr>
          <w:rFonts w:ascii="方正仿宋_GB2312" w:hAnsi="方正仿宋_GB2312" w:eastAsia="方正仿宋_GB2312" w:cs="方正仿宋_GB2312"/>
          <w:sz w:val="28"/>
          <w:szCs w:val="28"/>
        </w:rPr>
        <w:t>现有网络的对接与并网工作；</w:t>
      </w:r>
    </w:p>
    <w:p>
      <w:pPr>
        <w:pStyle w:val="12"/>
        <w:spacing w:before="0" w:after="0" w:line="360" w:lineRule="auto"/>
        <w:ind w:left="0" w:right="0" w:firstLine="560"/>
        <w:jc w:val="both"/>
      </w:pPr>
      <w:r>
        <w:rPr>
          <w:rFonts w:ascii="方正仿宋_GB2312" w:hAnsi="方正仿宋_GB2312" w:eastAsia="方正仿宋_GB2312" w:cs="方正仿宋_GB2312"/>
          <w:sz w:val="28"/>
          <w:szCs w:val="28"/>
        </w:rPr>
        <w:t>（9）低阶及基础设施交付过程文件移交。</w:t>
      </w:r>
    </w:p>
    <w:p>
      <w:pPr>
        <w:pStyle w:val="12"/>
        <w:spacing w:before="0" w:after="0" w:line="360" w:lineRule="auto"/>
        <w:ind w:left="0" w:right="0"/>
        <w:jc w:val="both"/>
      </w:pPr>
      <w:r>
        <w:rPr>
          <w:rFonts w:ascii="方正仿宋_GB2312" w:hAnsi="方正仿宋_GB2312" w:eastAsia="方正仿宋_GB2312" w:cs="方正仿宋_GB2312"/>
          <w:b/>
          <w:bCs/>
          <w:sz w:val="28"/>
          <w:szCs w:val="28"/>
        </w:rPr>
        <w:t>     3.3.13.1.4云平台建设部署方案设计服务</w:t>
      </w:r>
    </w:p>
    <w:p>
      <w:pPr>
        <w:pStyle w:val="12"/>
        <w:spacing w:before="0" w:after="0" w:line="360" w:lineRule="auto"/>
        <w:ind w:left="0" w:right="0" w:firstLine="560"/>
        <w:jc w:val="both"/>
      </w:pPr>
      <w:r>
        <w:rPr>
          <w:rFonts w:ascii="方正仿宋_GB2312" w:hAnsi="方正仿宋_GB2312" w:eastAsia="方正仿宋_GB2312" w:cs="方正仿宋_GB2312"/>
          <w:sz w:val="28"/>
          <w:szCs w:val="28"/>
        </w:rPr>
        <w:t>基于云平台现状与业务系统的特点提供合理的云平台扩容部署规划，输出《云平台扩容部署设计方案》，并完成方案评审确认。设计方案应依据项目需求包括但不局限以下内容：</w:t>
      </w:r>
    </w:p>
    <w:p>
      <w:pPr>
        <w:pStyle w:val="12"/>
        <w:spacing w:before="0" w:after="0" w:line="360" w:lineRule="auto"/>
        <w:ind w:left="0" w:right="0" w:firstLine="560"/>
        <w:jc w:val="both"/>
      </w:pPr>
      <w:r>
        <w:rPr>
          <w:rFonts w:ascii="方正仿宋_GB2312" w:hAnsi="方正仿宋_GB2312" w:eastAsia="方正仿宋_GB2312" w:cs="方正仿宋_GB2312"/>
          <w:sz w:val="28"/>
          <w:szCs w:val="28"/>
        </w:rPr>
        <w:t>（1）云平台产品扩容业务规划。根据需要扩容的云平台产品，输出《云平台产品扩容业务规划表》，明确各产品互联网区和业务专网区扩容数量。</w:t>
      </w:r>
    </w:p>
    <w:p>
      <w:pPr>
        <w:pStyle w:val="12"/>
        <w:spacing w:before="0" w:after="0" w:line="360" w:lineRule="auto"/>
        <w:ind w:left="0" w:right="0" w:firstLine="560"/>
        <w:jc w:val="both"/>
      </w:pPr>
      <w:r>
        <w:rPr>
          <w:rFonts w:ascii="方正仿宋_GB2312" w:hAnsi="方正仿宋_GB2312" w:eastAsia="方正仿宋_GB2312" w:cs="方正仿宋_GB2312"/>
          <w:sz w:val="28"/>
          <w:szCs w:val="28"/>
        </w:rPr>
        <w:t>（2）云平台产品扩容实施方案。基于云平台扩容业务规划，进行针对性的扩容实施方案规划和设计，并制定扩容后的测试方案，包含测试范围、测试方式、测试用例集等，使扩容方案能够达到项目目标，并尽可能降低项目交付风险，保障生产业务系统稳定运行，并将扩容方案与</w:t>
      </w:r>
      <w:r>
        <w:rPr>
          <w:rFonts w:hint="eastAsia" w:ascii="方正仿宋_GB2312" w:hAnsi="方正仿宋_GB2312" w:eastAsia="方正仿宋_GB2312" w:cs="方正仿宋_GB2312"/>
          <w:sz w:val="28"/>
          <w:szCs w:val="28"/>
          <w:lang w:eastAsia="zh-CN"/>
        </w:rPr>
        <w:t>采购人</w:t>
      </w:r>
      <w:r>
        <w:rPr>
          <w:rFonts w:ascii="方正仿宋_GB2312" w:hAnsi="方正仿宋_GB2312" w:eastAsia="方正仿宋_GB2312" w:cs="方正仿宋_GB2312"/>
          <w:sz w:val="28"/>
          <w:szCs w:val="28"/>
        </w:rPr>
        <w:t>达成一致意见，输出《云平台产品扩容实施方案》。</w:t>
      </w:r>
    </w:p>
    <w:p>
      <w:pPr>
        <w:pStyle w:val="12"/>
        <w:spacing w:before="0" w:after="0" w:line="360" w:lineRule="auto"/>
        <w:ind w:left="0" w:right="0"/>
        <w:jc w:val="both"/>
      </w:pPr>
      <w:r>
        <w:rPr>
          <w:rFonts w:ascii="方正仿宋_GB2312" w:hAnsi="方正仿宋_GB2312" w:eastAsia="方正仿宋_GB2312" w:cs="方正仿宋_GB2312"/>
          <w:b/>
          <w:bCs/>
          <w:sz w:val="28"/>
          <w:szCs w:val="28"/>
        </w:rPr>
        <w:t>    3.3.13.1.5云平台建设部署和实施服务</w:t>
      </w:r>
    </w:p>
    <w:p>
      <w:pPr>
        <w:pStyle w:val="12"/>
        <w:spacing w:before="0" w:after="0" w:line="360" w:lineRule="auto"/>
        <w:ind w:left="0" w:right="0" w:firstLine="560"/>
        <w:jc w:val="both"/>
      </w:pPr>
      <w:r>
        <w:rPr>
          <w:rFonts w:ascii="方正仿宋_GB2312" w:hAnsi="方正仿宋_GB2312" w:eastAsia="方正仿宋_GB2312" w:cs="方正仿宋_GB2312"/>
          <w:sz w:val="28"/>
          <w:szCs w:val="28"/>
        </w:rPr>
        <w:t>按照《云平台扩容部署设计方案》，组织云平台扩容部署和迁移腾挪实施，包括云内资源池扩容部署和迁移实施，以及MPP数据库扩容部署实施。具体包含以下工作内容：</w:t>
      </w:r>
    </w:p>
    <w:p>
      <w:pPr>
        <w:pStyle w:val="12"/>
        <w:spacing w:before="0" w:after="0" w:line="360" w:lineRule="auto"/>
        <w:ind w:left="0" w:right="0" w:firstLine="560"/>
        <w:jc w:val="both"/>
      </w:pPr>
      <w:r>
        <w:rPr>
          <w:rFonts w:ascii="方正仿宋_GB2312" w:hAnsi="方正仿宋_GB2312" w:eastAsia="方正仿宋_GB2312" w:cs="方正仿宋_GB2312"/>
          <w:sz w:val="28"/>
          <w:szCs w:val="28"/>
        </w:rPr>
        <w:t>（1）云内资源池扩容部署和迁移实施。按照《云平台扩容部署设计方案》，组织对云内平台、计算、存储、网络、数据库、中间件等各资源池完成交付实施，扩容完成后，进行验证测试，输出《产品测试报告》。</w:t>
      </w:r>
    </w:p>
    <w:p>
      <w:pPr>
        <w:pStyle w:val="12"/>
        <w:spacing w:before="0" w:after="0" w:line="360" w:lineRule="auto"/>
        <w:ind w:left="0" w:right="0" w:firstLine="560"/>
        <w:jc w:val="both"/>
      </w:pPr>
      <w:r>
        <w:rPr>
          <w:rFonts w:ascii="方正仿宋_GB2312" w:hAnsi="方正仿宋_GB2312" w:eastAsia="方正仿宋_GB2312" w:cs="方正仿宋_GB2312"/>
          <w:sz w:val="28"/>
          <w:szCs w:val="28"/>
        </w:rPr>
        <w:t>（2）MPP数据库扩容部署实施。按照《云平台扩容部署设计方案》，组织对云下MPP数据库新集群扩容部署实施，实施完成后，进行验证测试，输出《产品测试报告》，在数据迁移过程中，提供产品技术支持。</w:t>
      </w:r>
    </w:p>
    <w:p>
      <w:pPr>
        <w:pStyle w:val="5"/>
        <w:keepNext w:val="0"/>
        <w:spacing w:before="0" w:after="0" w:line="360" w:lineRule="auto"/>
        <w:rPr>
          <w:rFonts w:ascii="仿宋_GB2312" w:hAnsi="仿宋_GB2312" w:eastAsia="仿宋_GB2312" w:cs="仿宋_GB2312"/>
          <w:b/>
          <w:bCs/>
          <w:sz w:val="28"/>
          <w:szCs w:val="28"/>
        </w:rPr>
      </w:pPr>
      <w:r>
        <w:rPr>
          <w:rFonts w:ascii="仿宋_GB2312" w:hAnsi="仿宋_GB2312" w:eastAsia="仿宋_GB2312" w:cs="仿宋_GB2312"/>
        </w:rPr>
        <w:t>3.3.13.2安全设备集成实施服务</w:t>
      </w:r>
    </w:p>
    <w:p>
      <w:pPr>
        <w:pStyle w:val="12"/>
        <w:spacing w:before="0" w:after="0" w:line="360" w:lineRule="auto"/>
        <w:ind w:left="0" w:right="0"/>
      </w:pPr>
      <w:r>
        <w:rPr>
          <w:rFonts w:ascii="方正仿宋_GB2312" w:hAnsi="方正仿宋_GB2312" w:eastAsia="方正仿宋_GB2312" w:cs="方正仿宋_GB2312"/>
          <w:sz w:val="28"/>
          <w:szCs w:val="28"/>
        </w:rPr>
        <w:t>   </w:t>
      </w:r>
      <w:r>
        <w:rPr>
          <w:rFonts w:hint="eastAsia" w:ascii="方正仿宋_GB2312" w:hAnsi="方正仿宋_GB2312" w:eastAsia="方正仿宋_GB2312" w:cs="方正仿宋_GB2312"/>
          <w:sz w:val="28"/>
          <w:szCs w:val="28"/>
          <w:lang w:val="en-US" w:eastAsia="zh-CN"/>
        </w:rPr>
        <w:t xml:space="preserve">  </w:t>
      </w:r>
      <w:r>
        <w:rPr>
          <w:rFonts w:ascii="方正仿宋_GB2312" w:hAnsi="方正仿宋_GB2312" w:eastAsia="方正仿宋_GB2312" w:cs="方正仿宋_GB2312"/>
          <w:sz w:val="28"/>
          <w:szCs w:val="28"/>
        </w:rPr>
        <w:t>本项目安全设备集成实施内容包括但不限于集成实施调研、集成方案制定、设备上架部署、线缆敷设、配置调试、试运行、交付投用等。如涉及新旧设备割接的，应做好割接方案制定。集成实施期间，按采购人要求完成全部实施内容，做好实施资料整理，如涉及原有设备迁移调整，按采购人要求完成原设备迁移。</w:t>
      </w:r>
    </w:p>
    <w:p>
      <w:pPr>
        <w:pStyle w:val="5"/>
        <w:keepNext w:val="0"/>
        <w:spacing w:before="0" w:after="0" w:line="360" w:lineRule="auto"/>
        <w:rPr>
          <w:rFonts w:ascii="仿宋_GB2312" w:hAnsi="仿宋_GB2312" w:eastAsia="仿宋_GB2312" w:cs="仿宋_GB2312"/>
          <w:b/>
          <w:bCs/>
          <w:sz w:val="28"/>
          <w:szCs w:val="28"/>
        </w:rPr>
      </w:pPr>
      <w:r>
        <w:rPr>
          <w:rFonts w:ascii="仿宋_GB2312" w:hAnsi="仿宋_GB2312" w:eastAsia="仿宋_GB2312" w:cs="仿宋_GB2312"/>
        </w:rPr>
        <w:t>3.3.13.3空调设备集成实施服务</w:t>
      </w:r>
    </w:p>
    <w:p>
      <w:pPr>
        <w:pStyle w:val="12"/>
        <w:spacing w:before="0" w:after="0" w:line="360" w:lineRule="auto"/>
        <w:ind w:left="0" w:right="0" w:firstLine="560"/>
        <w:jc w:val="both"/>
      </w:pPr>
      <w:r>
        <w:rPr>
          <w:rFonts w:ascii="方正仿宋_GB2312" w:hAnsi="方正仿宋_GB2312" w:eastAsia="方正仿宋_GB2312" w:cs="方正仿宋_GB2312"/>
          <w:sz w:val="28"/>
          <w:szCs w:val="28"/>
        </w:rPr>
        <w:t>1.按照采购人要求，将替换的旧空调整体迁移到指定地点，将新空调部署到指定位置。</w:t>
      </w:r>
    </w:p>
    <w:p>
      <w:pPr>
        <w:pStyle w:val="12"/>
        <w:spacing w:before="0" w:after="0" w:line="360" w:lineRule="auto"/>
        <w:ind w:left="0" w:right="0" w:firstLine="560"/>
        <w:jc w:val="both"/>
      </w:pPr>
      <w:r>
        <w:rPr>
          <w:rFonts w:ascii="方正仿宋_GB2312" w:hAnsi="方正仿宋_GB2312" w:eastAsia="方正仿宋_GB2312" w:cs="方正仿宋_GB2312"/>
          <w:sz w:val="28"/>
          <w:szCs w:val="28"/>
        </w:rPr>
        <w:t>2.本项目空调设备集成实施工作包括但不限于集成实施调研、集成方案制定、设备安装部署、管路布线、系统联调、试运行、交付投用等，集成实施期间，按采购人要求完成全部实施内容，做好实施资料整理，</w:t>
      </w:r>
    </w:p>
    <w:p>
      <w:pPr>
        <w:pStyle w:val="12"/>
        <w:spacing w:before="0" w:after="0" w:line="360" w:lineRule="auto"/>
        <w:ind w:left="0" w:right="0" w:firstLine="560"/>
        <w:jc w:val="both"/>
      </w:pPr>
      <w:r>
        <w:rPr>
          <w:rFonts w:ascii="方正仿宋_GB2312" w:hAnsi="方正仿宋_GB2312" w:eastAsia="方正仿宋_GB2312" w:cs="方正仿宋_GB2312"/>
          <w:sz w:val="28"/>
          <w:szCs w:val="28"/>
        </w:rPr>
        <w:t>3.将本项目采购的空调设备接入内蒙古自治区税务局已有的数据中心动环监控平台，实现信息化基础设施7×24小时统一监控和远程查看空调报警信息。</w:t>
      </w:r>
    </w:p>
    <w:p>
      <w:pPr>
        <w:pStyle w:val="3"/>
        <w:keepNext w:val="0"/>
        <w:spacing w:before="0" w:after="0" w:line="360" w:lineRule="auto"/>
        <w:rPr>
          <w:rFonts w:ascii="仿宋_GB2312" w:hAnsi="仿宋_GB2312" w:eastAsia="仿宋_GB2312" w:cs="仿宋_GB2312"/>
          <w:b/>
          <w:bCs/>
          <w:sz w:val="28"/>
          <w:szCs w:val="28"/>
        </w:rPr>
      </w:pPr>
      <w:bookmarkStart w:id="38" w:name="_Toc256000036"/>
      <w:r>
        <w:rPr>
          <w:rFonts w:ascii="仿宋_GB2312" w:hAnsi="仿宋_GB2312" w:eastAsia="仿宋_GB2312" w:cs="仿宋_GB2312"/>
          <w:i w:val="0"/>
          <w:iCs w:val="0"/>
        </w:rPr>
        <w:t>3.4服务要求</w:t>
      </w:r>
      <w:bookmarkEnd w:id="38"/>
    </w:p>
    <w:p>
      <w:pPr>
        <w:pStyle w:val="4"/>
        <w:keepNext w:val="0"/>
        <w:spacing w:before="0" w:after="0" w:line="360" w:lineRule="auto"/>
        <w:rPr>
          <w:rFonts w:ascii="仿宋_GB2312" w:hAnsi="仿宋_GB2312" w:eastAsia="仿宋_GB2312" w:cs="仿宋_GB2312"/>
          <w:b/>
          <w:bCs/>
          <w:sz w:val="28"/>
          <w:szCs w:val="28"/>
        </w:rPr>
      </w:pPr>
      <w:bookmarkStart w:id="39" w:name="_Toc256000037"/>
      <w:r>
        <w:rPr>
          <w:rFonts w:ascii="仿宋_GB2312" w:hAnsi="仿宋_GB2312" w:eastAsia="仿宋_GB2312" w:cs="仿宋_GB2312"/>
          <w:sz w:val="28"/>
          <w:szCs w:val="28"/>
        </w:rPr>
        <w:t>3.4.1★质保服务</w:t>
      </w:r>
      <w:bookmarkEnd w:id="39"/>
    </w:p>
    <w:p>
      <w:pPr>
        <w:pStyle w:val="12"/>
        <w:spacing w:before="0" w:after="0" w:line="360" w:lineRule="auto"/>
        <w:ind w:left="0" w:right="0"/>
      </w:pPr>
      <w:r>
        <w:rPr>
          <w:rFonts w:ascii="方正仿宋_GB2312" w:hAnsi="方正仿宋_GB2312" w:eastAsia="方正仿宋_GB2312" w:cs="方正仿宋_GB2312"/>
          <w:sz w:val="28"/>
          <w:szCs w:val="28"/>
        </w:rPr>
        <w:t>   </w:t>
      </w:r>
      <w:r>
        <w:rPr>
          <w:rFonts w:hint="eastAsia" w:ascii="方正仿宋_GB2312" w:hAnsi="方正仿宋_GB2312" w:eastAsia="方正仿宋_GB2312" w:cs="方正仿宋_GB2312"/>
          <w:sz w:val="28"/>
          <w:szCs w:val="28"/>
          <w:lang w:val="en-US" w:eastAsia="zh-CN"/>
        </w:rPr>
        <w:t xml:space="preserve">  </w:t>
      </w:r>
      <w:r>
        <w:rPr>
          <w:rFonts w:ascii="方正仿宋_GB2312" w:hAnsi="方正仿宋_GB2312" w:eastAsia="方正仿宋_GB2312" w:cs="方正仿宋_GB2312"/>
          <w:sz w:val="28"/>
          <w:szCs w:val="28"/>
        </w:rPr>
        <w:t>服务器设备、网络设备提供不少于5年整机质保服务，安全设备、空调设备提供不少于3年整机质保服务（设备含软件的，提供软硬一体质保服务），整机质保服务含免费换件和维修、硬盘不返还服务、免费提供备品备件、7×24小时技术支持服务等，设备含软件的，质保期内免费提供软件升级和维护服务。质保期内更换配件必须为全新且与原件同等级良品。质保期自项目终验合格之日起计算。（投标人提供质保服务承诺函，并加盖投标人公章）。</w:t>
      </w:r>
    </w:p>
    <w:p>
      <w:pPr>
        <w:pStyle w:val="4"/>
        <w:keepNext w:val="0"/>
        <w:spacing w:before="0" w:after="0" w:line="360" w:lineRule="auto"/>
        <w:rPr>
          <w:rFonts w:ascii="仿宋_GB2312" w:hAnsi="仿宋_GB2312" w:eastAsia="仿宋_GB2312" w:cs="仿宋_GB2312"/>
          <w:b/>
          <w:bCs/>
          <w:sz w:val="28"/>
          <w:szCs w:val="28"/>
        </w:rPr>
      </w:pPr>
      <w:bookmarkStart w:id="40" w:name="_Toc256000038"/>
      <w:r>
        <w:rPr>
          <w:rFonts w:ascii="仿宋_GB2312" w:hAnsi="仿宋_GB2312" w:eastAsia="仿宋_GB2312" w:cs="仿宋_GB2312"/>
          <w:sz w:val="28"/>
          <w:szCs w:val="28"/>
        </w:rPr>
        <w:t>3.4.2设备供货</w:t>
      </w:r>
      <w:bookmarkEnd w:id="40"/>
    </w:p>
    <w:p>
      <w:pPr>
        <w:pStyle w:val="12"/>
        <w:spacing w:before="0" w:after="0" w:line="360" w:lineRule="auto"/>
        <w:ind w:left="0" w:right="0" w:firstLine="560"/>
        <w:jc w:val="both"/>
      </w:pPr>
      <w:r>
        <w:rPr>
          <w:rFonts w:ascii="方正仿宋_GB2312" w:hAnsi="方正仿宋_GB2312" w:eastAsia="方正仿宋_GB2312" w:cs="方正仿宋_GB2312"/>
          <w:sz w:val="28"/>
          <w:szCs w:val="28"/>
        </w:rPr>
        <w:t>1.投标人所投产品必须是原装正品，符合国家质量标准，不允许任何形式拆改配。</w:t>
      </w:r>
    </w:p>
    <w:p>
      <w:pPr>
        <w:pStyle w:val="12"/>
        <w:spacing w:before="0" w:after="0" w:line="360" w:lineRule="auto"/>
        <w:ind w:left="0" w:right="0" w:firstLine="560"/>
        <w:jc w:val="both"/>
      </w:pPr>
      <w:r>
        <w:rPr>
          <w:rFonts w:ascii="方正仿宋_GB2312" w:hAnsi="方正仿宋_GB2312" w:eastAsia="方正仿宋_GB2312" w:cs="方正仿宋_GB2312"/>
          <w:sz w:val="28"/>
          <w:szCs w:val="28"/>
        </w:rPr>
        <w:t>2.投标人保证其提供的产品中所有预装的软件为在中国境内具有合法版权或使用权的正版软件且无质量瑕疵，且为该产品的当前最新版本。</w:t>
      </w:r>
    </w:p>
    <w:p>
      <w:pPr>
        <w:pStyle w:val="12"/>
        <w:spacing w:before="0" w:after="0" w:line="360" w:lineRule="auto"/>
        <w:ind w:left="0" w:right="0" w:firstLine="560"/>
        <w:jc w:val="both"/>
      </w:pPr>
      <w:r>
        <w:rPr>
          <w:rFonts w:ascii="方正仿宋_GB2312" w:hAnsi="方正仿宋_GB2312" w:eastAsia="方正仿宋_GB2312" w:cs="方正仿宋_GB2312"/>
          <w:sz w:val="28"/>
          <w:szCs w:val="28"/>
        </w:rPr>
        <w:t>4.投标人提供的服务器和网络设备能够完全兼容采购人已建成的金税云平台和上线部署的电子发票服务平台等金税四期应用系统，与现有网络核心交换机能够兼容，提供的服务器产品已通过了采购人现有金税云平台的兼容性测试，确保电子发票服务平台等金税四期应用系统顺利安装部署。若实际不满足要求或不兼容，采购人可终止合同，投标人承担法律责任并赔偿采购人的全部损失。</w:t>
      </w:r>
    </w:p>
    <w:p>
      <w:pPr>
        <w:pStyle w:val="12"/>
        <w:spacing w:before="0" w:after="0" w:line="360" w:lineRule="auto"/>
        <w:ind w:left="0" w:right="0" w:firstLine="560"/>
        <w:jc w:val="both"/>
      </w:pPr>
      <w:r>
        <w:rPr>
          <w:rFonts w:ascii="方正仿宋_GB2312" w:hAnsi="方正仿宋_GB2312" w:eastAsia="方正仿宋_GB2312" w:cs="方正仿宋_GB2312"/>
          <w:sz w:val="28"/>
          <w:szCs w:val="28"/>
        </w:rPr>
        <w:t>5.投标人保证在采购人要求的供货时限内到货。</w:t>
      </w:r>
    </w:p>
    <w:p>
      <w:pPr>
        <w:pStyle w:val="12"/>
        <w:spacing w:before="0" w:after="0" w:line="360" w:lineRule="auto"/>
        <w:ind w:left="0" w:right="0" w:firstLine="560"/>
        <w:jc w:val="both"/>
      </w:pPr>
      <w:r>
        <w:rPr>
          <w:rFonts w:ascii="方正仿宋_GB2312" w:hAnsi="方正仿宋_GB2312" w:eastAsia="方正仿宋_GB2312" w:cs="方正仿宋_GB2312"/>
          <w:sz w:val="28"/>
          <w:szCs w:val="28"/>
        </w:rPr>
        <w:t>6.投标人对上述内容提供设备供货承诺函，并加盖投标人公章。</w:t>
      </w:r>
    </w:p>
    <w:p>
      <w:pPr>
        <w:pStyle w:val="4"/>
        <w:keepNext w:val="0"/>
        <w:spacing w:before="0" w:after="0" w:line="360" w:lineRule="auto"/>
        <w:rPr>
          <w:rFonts w:ascii="仿宋_GB2312" w:hAnsi="仿宋_GB2312" w:eastAsia="仿宋_GB2312" w:cs="仿宋_GB2312"/>
          <w:b/>
          <w:bCs/>
          <w:sz w:val="28"/>
          <w:szCs w:val="28"/>
        </w:rPr>
      </w:pPr>
      <w:bookmarkStart w:id="41" w:name="_Toc256000039"/>
      <w:r>
        <w:rPr>
          <w:rFonts w:ascii="仿宋_GB2312" w:hAnsi="仿宋_GB2312" w:eastAsia="仿宋_GB2312" w:cs="仿宋_GB2312"/>
          <w:sz w:val="28"/>
          <w:szCs w:val="28"/>
        </w:rPr>
        <w:t>3.4.3售后服务</w:t>
      </w:r>
      <w:bookmarkEnd w:id="41"/>
    </w:p>
    <w:p>
      <w:pPr>
        <w:pStyle w:val="12"/>
        <w:spacing w:before="0" w:after="0" w:line="360" w:lineRule="auto"/>
        <w:ind w:left="0" w:right="0" w:firstLine="560"/>
        <w:jc w:val="both"/>
      </w:pPr>
      <w:r>
        <w:rPr>
          <w:rFonts w:ascii="方正仿宋_GB2312" w:hAnsi="方正仿宋_GB2312" w:eastAsia="方正仿宋_GB2312" w:cs="方正仿宋_GB2312"/>
          <w:sz w:val="28"/>
          <w:szCs w:val="28"/>
        </w:rPr>
        <w:t>1.质保期内，投标人提供全部采购设备的7×24小时技术支持服务（包含电话、微信等远程方式）和现场支持服务，服务内容包含但不限于设备及相关软件的故障诊断排查、故障解决、设备调整、参数配置、设备调试、版本升级、特征库升级、安全设备威胁情报库升级、固件微码更新、安全漏洞补丁升级、特殊时期运行保障、技术培训、应急演练等。</w:t>
      </w:r>
    </w:p>
    <w:p>
      <w:pPr>
        <w:pStyle w:val="12"/>
        <w:spacing w:before="0" w:after="0" w:line="360" w:lineRule="auto"/>
        <w:ind w:left="0" w:right="0" w:firstLine="560"/>
        <w:jc w:val="both"/>
      </w:pPr>
      <w:r>
        <w:rPr>
          <w:rFonts w:ascii="方正仿宋_GB2312" w:hAnsi="方正仿宋_GB2312" w:eastAsia="方正仿宋_GB2312" w:cs="方正仿宋_GB2312"/>
          <w:sz w:val="28"/>
          <w:szCs w:val="28"/>
        </w:rPr>
        <w:t>2.质保期内，对全部采购设备提供按季度专业的现场健康巡检服务，并出具健康巡检报告。对空调设备提供耗材易损件的更换，包括但不限于空调滤芯（每年不少于2次）、加湿罐的更换，每年不少于4次空调外机的清洗。</w:t>
      </w:r>
    </w:p>
    <w:p>
      <w:pPr>
        <w:pStyle w:val="12"/>
        <w:spacing w:before="0" w:after="0" w:line="360" w:lineRule="auto"/>
        <w:ind w:left="0" w:right="0" w:firstLine="560"/>
        <w:jc w:val="both"/>
      </w:pPr>
      <w:r>
        <w:rPr>
          <w:rFonts w:ascii="方正仿宋_GB2312" w:hAnsi="方正仿宋_GB2312" w:eastAsia="方正仿宋_GB2312" w:cs="方正仿宋_GB2312"/>
          <w:sz w:val="28"/>
          <w:szCs w:val="28"/>
        </w:rPr>
        <w:t>3.质保期内，设备发生故障时，投标人需在30分钟内实质响应，需要现场维护或解决的，在采购人要求时限内派遣工程师到达现场，若故障无法及时解决，须提供同等性能的备用设备供采购人使用。因故障响应发生的一切费用均由投标人承担。</w:t>
      </w:r>
    </w:p>
    <w:p>
      <w:pPr>
        <w:pStyle w:val="12"/>
        <w:spacing w:before="0" w:after="0" w:line="360" w:lineRule="auto"/>
        <w:ind w:left="0" w:right="0"/>
      </w:pPr>
      <w:r>
        <w:rPr>
          <w:rFonts w:ascii="方正仿宋_GB2312" w:hAnsi="方正仿宋_GB2312" w:eastAsia="方正仿宋_GB2312" w:cs="方正仿宋_GB2312"/>
          <w:sz w:val="28"/>
          <w:szCs w:val="28"/>
        </w:rPr>
        <w:t>    4.投标人对上述内容提供售后服务承诺函，并加盖投标人公章。</w:t>
      </w:r>
    </w:p>
    <w:p>
      <w:pPr>
        <w:pStyle w:val="4"/>
        <w:keepNext w:val="0"/>
        <w:spacing w:before="0" w:after="0" w:line="360" w:lineRule="auto"/>
        <w:rPr>
          <w:rFonts w:ascii="仿宋_GB2312" w:hAnsi="仿宋_GB2312" w:eastAsia="仿宋_GB2312" w:cs="仿宋_GB2312"/>
          <w:b/>
          <w:bCs/>
          <w:sz w:val="28"/>
          <w:szCs w:val="28"/>
        </w:rPr>
      </w:pPr>
      <w:bookmarkStart w:id="42" w:name="_Toc256000040"/>
      <w:r>
        <w:rPr>
          <w:rFonts w:ascii="仿宋_GB2312" w:hAnsi="仿宋_GB2312" w:eastAsia="仿宋_GB2312" w:cs="仿宋_GB2312"/>
          <w:sz w:val="28"/>
          <w:szCs w:val="28"/>
        </w:rPr>
        <w:t>3.4.4应急响应</w:t>
      </w:r>
      <w:bookmarkEnd w:id="42"/>
    </w:p>
    <w:p>
      <w:pPr>
        <w:pStyle w:val="15"/>
        <w:spacing w:before="0" w:after="0" w:line="360" w:lineRule="auto"/>
        <w:ind w:firstLine="482"/>
        <w:rPr>
          <w:rFonts w:ascii="Times New Roman" w:hAnsi="Times New Roman" w:eastAsia="Times New Roman" w:cs="Times New Roman"/>
        </w:rPr>
      </w:pPr>
      <w:r>
        <w:rPr>
          <w:rFonts w:ascii="仿宋" w:hAnsi="仿宋" w:eastAsia="仿宋" w:cs="仿宋"/>
          <w:sz w:val="28"/>
          <w:szCs w:val="28"/>
        </w:rPr>
        <w:t>实施过程中，若发生突发故障事件后，投标人应依据应急故障处置流程，对故障产生原因进行诊断和定位，协调各方人力和物力等进行及时处置，保障采购人的各类设备及关联应用系统正常稳定运行，故障恢复后向采购人提交故障处置报告。</w:t>
      </w:r>
    </w:p>
    <w:p>
      <w:pPr>
        <w:pStyle w:val="3"/>
        <w:keepNext w:val="0"/>
        <w:spacing w:before="0" w:after="0" w:line="360" w:lineRule="auto"/>
        <w:rPr>
          <w:rFonts w:ascii="仿宋_GB2312" w:hAnsi="仿宋_GB2312" w:eastAsia="仿宋_GB2312" w:cs="仿宋_GB2312"/>
          <w:b/>
          <w:bCs/>
          <w:sz w:val="28"/>
          <w:szCs w:val="28"/>
        </w:rPr>
      </w:pPr>
      <w:bookmarkStart w:id="43" w:name="_Toc256000041"/>
      <w:r>
        <w:rPr>
          <w:rFonts w:ascii="仿宋_GB2312" w:hAnsi="仿宋_GB2312" w:eastAsia="仿宋_GB2312" w:cs="仿宋_GB2312"/>
          <w:i w:val="0"/>
          <w:iCs w:val="0"/>
        </w:rPr>
        <w:t>3.5其他要求</w:t>
      </w:r>
      <w:bookmarkEnd w:id="43"/>
    </w:p>
    <w:p>
      <w:pPr>
        <w:pStyle w:val="2"/>
        <w:keepNext w:val="0"/>
        <w:spacing w:before="0" w:after="0" w:line="360" w:lineRule="auto"/>
        <w:jc w:val="center"/>
        <w:rPr>
          <w:rFonts w:ascii="仿宋_GB2312" w:hAnsi="仿宋_GB2312" w:eastAsia="仿宋_GB2312" w:cs="仿宋_GB2312"/>
          <w:b/>
          <w:bCs/>
          <w:sz w:val="32"/>
          <w:szCs w:val="32"/>
        </w:rPr>
      </w:pPr>
      <w:bookmarkStart w:id="44" w:name="_Toc256000042"/>
      <w:r>
        <w:rPr>
          <w:rFonts w:ascii="仿宋_GB2312" w:hAnsi="仿宋_GB2312" w:eastAsia="仿宋_GB2312" w:cs="仿宋_GB2312"/>
          <w:kern w:val="36"/>
        </w:rPr>
        <w:t>4人员要求</w:t>
      </w:r>
      <w:bookmarkEnd w:id="44"/>
    </w:p>
    <w:p>
      <w:pPr>
        <w:pStyle w:val="3"/>
        <w:keepNext w:val="0"/>
        <w:spacing w:before="0" w:after="0" w:line="360" w:lineRule="auto"/>
        <w:rPr>
          <w:rFonts w:ascii="仿宋_GB2312" w:hAnsi="仿宋_GB2312" w:eastAsia="仿宋_GB2312" w:cs="仿宋_GB2312"/>
          <w:b/>
          <w:bCs/>
          <w:sz w:val="28"/>
          <w:szCs w:val="28"/>
        </w:rPr>
      </w:pPr>
      <w:bookmarkStart w:id="45" w:name="_Toc256000043"/>
      <w:r>
        <w:rPr>
          <w:rFonts w:ascii="仿宋_GB2312" w:hAnsi="仿宋_GB2312" w:eastAsia="仿宋_GB2312" w:cs="仿宋_GB2312"/>
          <w:i w:val="0"/>
          <w:iCs w:val="0"/>
        </w:rPr>
        <w:t>4.1项目组织结构</w:t>
      </w:r>
      <w:bookmarkEnd w:id="45"/>
    </w:p>
    <w:p>
      <w:pPr>
        <w:pStyle w:val="15"/>
        <w:spacing w:before="0" w:after="0" w:line="360" w:lineRule="auto"/>
        <w:ind w:firstLine="560"/>
        <w:textAlignment w:val="baseline"/>
        <w:rPr>
          <w:rFonts w:ascii="Times New Roman" w:hAnsi="Times New Roman" w:eastAsia="Times New Roman" w:cs="Times New Roman"/>
        </w:rPr>
      </w:pPr>
      <w:r>
        <w:rPr>
          <w:rFonts w:ascii="方正仿宋_GB2312" w:hAnsi="方正仿宋_GB2312" w:eastAsia="方正仿宋_GB2312" w:cs="方正仿宋_GB2312"/>
          <w:sz w:val="28"/>
          <w:szCs w:val="28"/>
        </w:rPr>
        <w:t>本项目由采购人、投标人共同组成的项目管理机构，负责整个项目的实施工作。投标人的投入人员必须严格遵守国家的政策法规，执行项目管理机构的各项规章制度，服从管理和调度，认真履行工作职责，圆满完成工作任务。</w:t>
      </w:r>
    </w:p>
    <w:p>
      <w:pPr>
        <w:pStyle w:val="3"/>
        <w:keepNext w:val="0"/>
        <w:spacing w:before="0" w:after="0" w:line="360" w:lineRule="auto"/>
        <w:rPr>
          <w:rFonts w:ascii="仿宋_GB2312" w:hAnsi="仿宋_GB2312" w:eastAsia="仿宋_GB2312" w:cs="仿宋_GB2312"/>
          <w:b/>
          <w:bCs/>
          <w:sz w:val="28"/>
          <w:szCs w:val="28"/>
        </w:rPr>
      </w:pPr>
      <w:bookmarkStart w:id="46" w:name="_Toc256000044"/>
      <w:r>
        <w:rPr>
          <w:rFonts w:ascii="仿宋_GB2312" w:hAnsi="仿宋_GB2312" w:eastAsia="仿宋_GB2312" w:cs="仿宋_GB2312"/>
          <w:i w:val="0"/>
          <w:iCs w:val="0"/>
        </w:rPr>
        <w:t>4.2团队要求</w:t>
      </w:r>
      <w:bookmarkEnd w:id="46"/>
    </w:p>
    <w:p>
      <w:pPr>
        <w:pStyle w:val="4"/>
        <w:keepNext w:val="0"/>
        <w:spacing w:before="0" w:after="0" w:line="360" w:lineRule="auto"/>
        <w:rPr>
          <w:rFonts w:ascii="仿宋_GB2312" w:hAnsi="仿宋_GB2312" w:eastAsia="仿宋_GB2312" w:cs="仿宋_GB2312"/>
          <w:b/>
          <w:bCs/>
          <w:sz w:val="28"/>
          <w:szCs w:val="28"/>
        </w:rPr>
      </w:pPr>
      <w:bookmarkStart w:id="47" w:name="_Toc256000045"/>
      <w:r>
        <w:rPr>
          <w:rFonts w:ascii="仿宋_GB2312" w:hAnsi="仿宋_GB2312" w:eastAsia="仿宋_GB2312" w:cs="仿宋_GB2312"/>
          <w:sz w:val="28"/>
          <w:szCs w:val="28"/>
        </w:rPr>
        <w:t>4.2.1基本要求</w:t>
      </w:r>
      <w:bookmarkEnd w:id="47"/>
    </w:p>
    <w:p>
      <w:pPr>
        <w:pStyle w:val="15"/>
        <w:spacing w:before="0" w:after="0" w:line="360" w:lineRule="auto"/>
        <w:ind w:firstLine="560"/>
        <w:jc w:val="both"/>
        <w:textAlignment w:val="baseline"/>
        <w:rPr>
          <w:rFonts w:ascii="Times New Roman" w:hAnsi="Times New Roman" w:eastAsia="Times New Roman" w:cs="Times New Roman"/>
        </w:rPr>
      </w:pPr>
      <w:r>
        <w:rPr>
          <w:rFonts w:ascii="方正仿宋_GB2312" w:hAnsi="方正仿宋_GB2312" w:eastAsia="方正仿宋_GB2312" w:cs="方正仿宋_GB2312"/>
          <w:sz w:val="28"/>
          <w:szCs w:val="28"/>
        </w:rPr>
        <w:t>投标人应为本项目配备1名项目经理和不少于10人的技术实施团队，确保能够按照采购人时限要求完成项目各项实施工作。拟选派的技术人员应具备参加过同类项目的实施经验。投标人应提供本项目投入人员的名单以及相关资质证明。</w:t>
      </w:r>
    </w:p>
    <w:p>
      <w:pPr>
        <w:pStyle w:val="13"/>
        <w:spacing w:before="0" w:after="0" w:line="360" w:lineRule="auto"/>
        <w:ind w:firstLine="3274"/>
        <w:rPr>
          <w:rFonts w:ascii="Times New Roman" w:hAnsi="Times New Roman" w:eastAsia="Times New Roman" w:cs="Times New Roman"/>
        </w:rPr>
      </w:pPr>
      <w:r>
        <w:rPr>
          <w:rFonts w:ascii="仿宋_GB2312" w:hAnsi="仿宋_GB2312" w:eastAsia="仿宋_GB2312" w:cs="仿宋_GB2312"/>
          <w:b/>
          <w:bCs/>
          <w:sz w:val="28"/>
          <w:szCs w:val="28"/>
        </w:rPr>
        <w:t>人员岗位及职责表</w:t>
      </w:r>
    </w:p>
    <w:tbl>
      <w:tblPr>
        <w:tblStyle w:val="16"/>
        <w:tblW w:w="0" w:type="auto"/>
        <w:tblCellSpacing w:w="0" w:type="dxa"/>
        <w:tblInd w:w="128" w:type="dxa"/>
        <w:tblLayout w:type="autofit"/>
        <w:tblCellMar>
          <w:top w:w="15" w:type="dxa"/>
          <w:left w:w="15" w:type="dxa"/>
          <w:bottom w:w="15" w:type="dxa"/>
          <w:right w:w="15" w:type="dxa"/>
        </w:tblCellMar>
      </w:tblPr>
      <w:tblGrid>
        <w:gridCol w:w="1656"/>
        <w:gridCol w:w="7518"/>
      </w:tblGrid>
      <w:tr>
        <w:tblPrEx>
          <w:tblCellMar>
            <w:top w:w="15" w:type="dxa"/>
            <w:left w:w="15" w:type="dxa"/>
            <w:bottom w:w="15" w:type="dxa"/>
            <w:right w:w="15" w:type="dxa"/>
          </w:tblCellMar>
        </w:tblPrEx>
        <w:trPr>
          <w:tblCellSpacing w:w="0" w:type="dxa"/>
        </w:trPr>
        <w:tc>
          <w:tcPr>
            <w:tcW w:w="1667" w:type="dxa"/>
            <w:tcBorders>
              <w:top w:val="single" w:color="000000" w:sz="8" w:space="0"/>
              <w:left w:val="single" w:color="000000" w:sz="8" w:space="0"/>
              <w:bottom w:val="single" w:color="000000" w:sz="8" w:space="0"/>
              <w:right w:val="single" w:color="000000" w:sz="8" w:space="0"/>
            </w:tcBorders>
            <w:noWrap w:val="0"/>
            <w:tcMar>
              <w:top w:w="0" w:type="dxa"/>
              <w:left w:w="118" w:type="dxa"/>
              <w:bottom w:w="0" w:type="dxa"/>
              <w:right w:w="118" w:type="dxa"/>
            </w:tcMar>
            <w:vAlign w:val="top"/>
          </w:tcPr>
          <w:p>
            <w:pPr>
              <w:pStyle w:val="13"/>
              <w:spacing w:after="0" w:line="400" w:lineRule="atLeast"/>
              <w:jc w:val="center"/>
              <w:rPr>
                <w:b w:val="0"/>
                <w:bCs w:val="0"/>
                <w:i w:val="0"/>
                <w:iCs w:val="0"/>
                <w:smallCaps w:val="0"/>
                <w:color w:val="000000"/>
                <w:sz w:val="20"/>
                <w:szCs w:val="20"/>
              </w:rPr>
            </w:pPr>
            <w:r>
              <w:rPr>
                <w:rFonts w:ascii="仿宋_GB2312" w:hAnsi="仿宋_GB2312" w:eastAsia="仿宋_GB2312" w:cs="仿宋_GB2312"/>
                <w:b/>
                <w:bCs/>
                <w:i w:val="0"/>
                <w:iCs w:val="0"/>
                <w:smallCaps w:val="0"/>
                <w:color w:val="000000"/>
                <w:sz w:val="28"/>
                <w:szCs w:val="28"/>
              </w:rPr>
              <w:t>人员岗位</w:t>
            </w:r>
          </w:p>
        </w:tc>
        <w:tc>
          <w:tcPr>
            <w:tcW w:w="7582" w:type="dxa"/>
            <w:tcBorders>
              <w:top w:val="single" w:color="000000" w:sz="8" w:space="0"/>
              <w:bottom w:val="single" w:color="000000" w:sz="8" w:space="0"/>
              <w:right w:val="single" w:color="000000" w:sz="8" w:space="0"/>
            </w:tcBorders>
            <w:noWrap w:val="0"/>
            <w:tcMar>
              <w:top w:w="0" w:type="dxa"/>
              <w:left w:w="108" w:type="dxa"/>
              <w:bottom w:w="0" w:type="dxa"/>
              <w:right w:w="118" w:type="dxa"/>
            </w:tcMar>
            <w:vAlign w:val="top"/>
          </w:tcPr>
          <w:p>
            <w:pPr>
              <w:pStyle w:val="13"/>
              <w:spacing w:after="0" w:line="400" w:lineRule="atLeast"/>
              <w:ind w:firstLine="843"/>
              <w:jc w:val="both"/>
              <w:rPr>
                <w:b w:val="0"/>
                <w:bCs w:val="0"/>
                <w:i w:val="0"/>
                <w:iCs w:val="0"/>
                <w:smallCaps w:val="0"/>
                <w:color w:val="000000"/>
                <w:sz w:val="20"/>
                <w:szCs w:val="20"/>
              </w:rPr>
            </w:pPr>
            <w:r>
              <w:rPr>
                <w:rFonts w:ascii="仿宋_GB2312" w:hAnsi="仿宋_GB2312" w:eastAsia="仿宋_GB2312" w:cs="仿宋_GB2312"/>
                <w:b/>
                <w:bCs/>
                <w:i w:val="0"/>
                <w:iCs w:val="0"/>
                <w:smallCaps w:val="0"/>
                <w:color w:val="000000"/>
                <w:sz w:val="28"/>
                <w:szCs w:val="28"/>
              </w:rPr>
              <w:t>工作能力及职责要求</w:t>
            </w:r>
          </w:p>
        </w:tc>
      </w:tr>
      <w:tr>
        <w:tblPrEx>
          <w:tblCellMar>
            <w:top w:w="15" w:type="dxa"/>
            <w:left w:w="15" w:type="dxa"/>
            <w:bottom w:w="15" w:type="dxa"/>
            <w:right w:w="15" w:type="dxa"/>
          </w:tblCellMar>
        </w:tblPrEx>
        <w:trPr>
          <w:tblCellSpacing w:w="0" w:type="dxa"/>
        </w:trPr>
        <w:tc>
          <w:tcPr>
            <w:tcW w:w="1667" w:type="dxa"/>
            <w:tcBorders>
              <w:left w:val="single" w:color="000000" w:sz="8" w:space="0"/>
              <w:bottom w:val="single" w:color="000000" w:sz="8" w:space="0"/>
              <w:right w:val="single" w:color="000000" w:sz="8" w:space="0"/>
            </w:tcBorders>
            <w:noWrap w:val="0"/>
            <w:tcMar>
              <w:top w:w="0" w:type="dxa"/>
              <w:left w:w="118" w:type="dxa"/>
              <w:bottom w:w="0" w:type="dxa"/>
              <w:right w:w="118" w:type="dxa"/>
            </w:tcMar>
            <w:vAlign w:val="center"/>
          </w:tcPr>
          <w:p>
            <w:pPr>
              <w:pStyle w:val="13"/>
              <w:spacing w:after="0" w:line="400" w:lineRule="atLeast"/>
              <w:jc w:val="center"/>
              <w:rPr>
                <w:b w:val="0"/>
                <w:bCs w:val="0"/>
                <w:i w:val="0"/>
                <w:iCs w:val="0"/>
                <w:smallCaps w:val="0"/>
                <w:color w:val="000000"/>
                <w:sz w:val="20"/>
                <w:szCs w:val="20"/>
              </w:rPr>
            </w:pPr>
            <w:r>
              <w:rPr>
                <w:rFonts w:ascii="仿宋_GB2312" w:hAnsi="仿宋_GB2312" w:eastAsia="仿宋_GB2312" w:cs="仿宋_GB2312"/>
                <w:b w:val="0"/>
                <w:bCs w:val="0"/>
                <w:i w:val="0"/>
                <w:iCs w:val="0"/>
                <w:smallCaps w:val="0"/>
                <w:color w:val="000000"/>
                <w:sz w:val="28"/>
                <w:szCs w:val="28"/>
              </w:rPr>
              <w:t>项目经理</w:t>
            </w:r>
          </w:p>
        </w:tc>
        <w:tc>
          <w:tcPr>
            <w:tcW w:w="7582" w:type="dxa"/>
            <w:tcBorders>
              <w:bottom w:val="single" w:color="000000" w:sz="8" w:space="0"/>
              <w:right w:val="single" w:color="000000" w:sz="8" w:space="0"/>
            </w:tcBorders>
            <w:noWrap w:val="0"/>
            <w:tcMar>
              <w:top w:w="0" w:type="dxa"/>
              <w:left w:w="108" w:type="dxa"/>
              <w:bottom w:w="0" w:type="dxa"/>
              <w:right w:w="118" w:type="dxa"/>
            </w:tcMar>
            <w:vAlign w:val="top"/>
          </w:tcPr>
          <w:p>
            <w:pPr>
              <w:pStyle w:val="12"/>
              <w:spacing w:before="0" w:after="0" w:line="400" w:lineRule="atLeast"/>
              <w:ind w:left="0" w:right="0" w:firstLine="560"/>
              <w:jc w:val="both"/>
              <w:rPr>
                <w:b w:val="0"/>
                <w:bCs w:val="0"/>
                <w:i w:val="0"/>
                <w:iCs w:val="0"/>
                <w:smallCaps w:val="0"/>
                <w:color w:val="000000"/>
              </w:rPr>
            </w:pPr>
            <w:r>
              <w:rPr>
                <w:rFonts w:ascii="仿宋_GB2312" w:hAnsi="仿宋_GB2312" w:eastAsia="仿宋_GB2312" w:cs="仿宋_GB2312"/>
                <w:b w:val="0"/>
                <w:bCs w:val="0"/>
                <w:i w:val="0"/>
                <w:iCs w:val="0"/>
                <w:smallCaps w:val="0"/>
                <w:color w:val="000000"/>
                <w:sz w:val="28"/>
                <w:szCs w:val="28"/>
              </w:rPr>
              <w:t>须具有IT项目规划与设计能力、项目集成实施能力、项目管理的相关方法和网络安全管控相关经验。工作职责：负责组织协调项目管控和实施工作，提交项目管理实施方案、硬件集成实施方案等；负责与采购人及时沟通、协商项目实施过程中的各类事宜；负责所有实施人员的管理、调配；负责组织项目团队完成项目实施和资料整理等。</w:t>
            </w:r>
          </w:p>
        </w:tc>
      </w:tr>
      <w:tr>
        <w:tblPrEx>
          <w:tblCellMar>
            <w:top w:w="15" w:type="dxa"/>
            <w:left w:w="15" w:type="dxa"/>
            <w:bottom w:w="15" w:type="dxa"/>
            <w:right w:w="15" w:type="dxa"/>
          </w:tblCellMar>
        </w:tblPrEx>
        <w:trPr>
          <w:tblCellSpacing w:w="0" w:type="dxa"/>
        </w:trPr>
        <w:tc>
          <w:tcPr>
            <w:tcW w:w="1667" w:type="dxa"/>
            <w:tcBorders>
              <w:left w:val="single" w:color="000000" w:sz="8" w:space="0"/>
              <w:bottom w:val="single" w:color="000000" w:sz="8" w:space="0"/>
              <w:right w:val="single" w:color="000000" w:sz="8" w:space="0"/>
            </w:tcBorders>
            <w:noWrap w:val="0"/>
            <w:tcMar>
              <w:top w:w="0" w:type="dxa"/>
              <w:left w:w="118" w:type="dxa"/>
              <w:bottom w:w="0" w:type="dxa"/>
              <w:right w:w="118" w:type="dxa"/>
            </w:tcMar>
            <w:vAlign w:val="center"/>
          </w:tcPr>
          <w:p>
            <w:pPr>
              <w:pStyle w:val="13"/>
              <w:spacing w:after="0" w:line="400" w:lineRule="atLeast"/>
              <w:jc w:val="center"/>
              <w:rPr>
                <w:b w:val="0"/>
                <w:bCs w:val="0"/>
                <w:i w:val="0"/>
                <w:iCs w:val="0"/>
                <w:smallCaps w:val="0"/>
                <w:color w:val="000000"/>
                <w:sz w:val="20"/>
                <w:szCs w:val="20"/>
              </w:rPr>
            </w:pPr>
            <w:r>
              <w:rPr>
                <w:rFonts w:ascii="仿宋_GB2312" w:hAnsi="仿宋_GB2312" w:eastAsia="仿宋_GB2312" w:cs="仿宋_GB2312"/>
                <w:b w:val="0"/>
                <w:bCs w:val="0"/>
                <w:i w:val="0"/>
                <w:iCs w:val="0"/>
                <w:smallCaps w:val="0"/>
                <w:color w:val="000000"/>
                <w:sz w:val="28"/>
                <w:szCs w:val="28"/>
              </w:rPr>
              <w:t>项目技术人员</w:t>
            </w:r>
          </w:p>
        </w:tc>
        <w:tc>
          <w:tcPr>
            <w:tcW w:w="7582" w:type="dxa"/>
            <w:tcBorders>
              <w:bottom w:val="single" w:color="000000" w:sz="8" w:space="0"/>
              <w:right w:val="single" w:color="000000" w:sz="8" w:space="0"/>
            </w:tcBorders>
            <w:noWrap w:val="0"/>
            <w:tcMar>
              <w:top w:w="0" w:type="dxa"/>
              <w:left w:w="108" w:type="dxa"/>
              <w:bottom w:w="0" w:type="dxa"/>
              <w:right w:w="118" w:type="dxa"/>
            </w:tcMar>
            <w:vAlign w:val="top"/>
          </w:tcPr>
          <w:p>
            <w:pPr>
              <w:pStyle w:val="13"/>
              <w:spacing w:after="0" w:line="400" w:lineRule="atLeast"/>
              <w:ind w:firstLine="560"/>
              <w:jc w:val="both"/>
              <w:rPr>
                <w:b w:val="0"/>
                <w:bCs w:val="0"/>
                <w:i w:val="0"/>
                <w:iCs w:val="0"/>
                <w:smallCaps w:val="0"/>
                <w:color w:val="000000"/>
                <w:sz w:val="20"/>
                <w:szCs w:val="20"/>
              </w:rPr>
            </w:pPr>
            <w:r>
              <w:rPr>
                <w:rFonts w:ascii="仿宋_GB2312" w:hAnsi="仿宋_GB2312" w:eastAsia="仿宋_GB2312" w:cs="仿宋_GB2312"/>
                <w:b w:val="0"/>
                <w:bCs w:val="0"/>
                <w:i w:val="0"/>
                <w:iCs w:val="0"/>
                <w:smallCaps w:val="0"/>
                <w:color w:val="000000"/>
                <w:sz w:val="28"/>
                <w:szCs w:val="28"/>
              </w:rPr>
              <w:t>须具有服务器等相关硬件设备的安装部署、集成测试等工作经验。工作职责：负责完成服务器等硬件设备的到货、安装部署、硬件集成、联调测试、试运行、上线等各项实施工作，负责解决实施过程中出现的各类问题和故障，负责完成项目培训和资料整理等工作。</w:t>
            </w:r>
          </w:p>
        </w:tc>
      </w:tr>
    </w:tbl>
    <w:p>
      <w:pPr>
        <w:spacing w:before="0" w:after="0" w:line="360" w:lineRule="auto"/>
        <w:rPr>
          <w:rFonts w:ascii="仿宋_GB2312" w:hAnsi="仿宋_GB2312" w:eastAsia="仿宋_GB2312" w:cs="仿宋_GB2312"/>
          <w:sz w:val="28"/>
          <w:szCs w:val="28"/>
        </w:rPr>
      </w:pPr>
      <w:r>
        <w:rPr>
          <w:rFonts w:ascii="仿宋_GB2312" w:hAnsi="仿宋_GB2312" w:eastAsia="仿宋_GB2312" w:cs="仿宋_GB2312"/>
          <w:sz w:val="28"/>
          <w:szCs w:val="28"/>
        </w:rPr>
        <w:t> </w:t>
      </w:r>
    </w:p>
    <w:p>
      <w:pPr>
        <w:spacing w:before="0" w:after="0" w:line="360" w:lineRule="auto"/>
        <w:jc w:val="left"/>
        <w:rPr>
          <w:rFonts w:ascii="Times New Roman" w:hAnsi="Times New Roman" w:eastAsia="Times New Roman" w:cs="Times New Roman"/>
        </w:rPr>
      </w:pPr>
      <w:r>
        <w:rPr>
          <w:rFonts w:ascii="Times New Roman" w:hAnsi="Times New Roman" w:eastAsia="Times New Roman" w:cs="Times New Roman"/>
        </w:rPr>
        <w:t> </w:t>
      </w:r>
    </w:p>
    <w:p>
      <w:pPr>
        <w:spacing w:before="0" w:after="0" w:line="360" w:lineRule="auto"/>
        <w:jc w:val="left"/>
        <w:rPr>
          <w:rFonts w:ascii="Times New Roman" w:hAnsi="Times New Roman" w:eastAsia="Times New Roman" w:cs="Times New Roman"/>
        </w:rPr>
      </w:pPr>
      <w:r>
        <w:rPr>
          <w:rFonts w:ascii="Times New Roman" w:hAnsi="Times New Roman" w:eastAsia="Times New Roman" w:cs="Times New Roman"/>
        </w:rPr>
        <w:t> </w:t>
      </w:r>
    </w:p>
    <w:p>
      <w:pPr>
        <w:pStyle w:val="4"/>
        <w:keepNext w:val="0"/>
        <w:spacing w:before="0" w:after="0" w:line="360" w:lineRule="auto"/>
        <w:rPr>
          <w:rFonts w:ascii="仿宋_GB2312" w:hAnsi="仿宋_GB2312" w:eastAsia="仿宋_GB2312" w:cs="仿宋_GB2312"/>
          <w:b/>
          <w:bCs/>
          <w:sz w:val="28"/>
          <w:szCs w:val="28"/>
        </w:rPr>
      </w:pPr>
      <w:bookmarkStart w:id="48" w:name="_Toc256000046"/>
      <w:r>
        <w:rPr>
          <w:rFonts w:ascii="仿宋_GB2312" w:hAnsi="仿宋_GB2312" w:eastAsia="仿宋_GB2312" w:cs="仿宋_GB2312"/>
          <w:sz w:val="28"/>
          <w:szCs w:val="28"/>
        </w:rPr>
        <w:t>4.2.2人员管理要求</w:t>
      </w:r>
      <w:bookmarkEnd w:id="48"/>
    </w:p>
    <w:p>
      <w:pPr>
        <w:spacing w:before="0" w:after="0" w:line="360" w:lineRule="auto"/>
        <w:jc w:val="left"/>
        <w:rPr>
          <w:rFonts w:ascii="Times New Roman" w:hAnsi="Times New Roman" w:eastAsia="Times New Roman" w:cs="Times New Roman"/>
        </w:rPr>
      </w:pPr>
      <w:r>
        <w:rPr>
          <w:rFonts w:ascii="方正仿宋_GB2312" w:hAnsi="方正仿宋_GB2312" w:eastAsia="方正仿宋_GB2312" w:cs="方正仿宋_GB2312"/>
          <w:sz w:val="28"/>
          <w:szCs w:val="28"/>
        </w:rPr>
        <w:t>     投标人必须选派工作责任心强、技术水平高、业务熟练、管理经验丰富的人员专职参加该项目实施。项目实施人员应与投标文件中所提供的人员名单相符，未经采购人允许随意变更的，采购人有权追究投标人责任，并采取相应处罚措施。</w:t>
      </w:r>
    </w:p>
    <w:p>
      <w:pPr>
        <w:spacing w:before="0" w:after="0" w:line="360" w:lineRule="auto"/>
        <w:jc w:val="left"/>
        <w:rPr>
          <w:rFonts w:ascii="Times New Roman" w:hAnsi="Times New Roman" w:eastAsia="Times New Roman" w:cs="Times New Roman"/>
        </w:rPr>
      </w:pPr>
      <w:r>
        <w:rPr>
          <w:rFonts w:ascii="方正仿宋_GB2312" w:hAnsi="方正仿宋_GB2312" w:eastAsia="方正仿宋_GB2312" w:cs="方正仿宋_GB2312"/>
          <w:sz w:val="28"/>
          <w:szCs w:val="28"/>
        </w:rPr>
        <w:t>     投标人选派的项目成员受投标人和采购人双重管理，采购人如认为投标人的项目团队成员未达到要求，有权要求投标人更换，投标人必须负责在一周之内调换符合采购人要求的项目成员。</w:t>
      </w:r>
    </w:p>
    <w:p>
      <w:pPr>
        <w:spacing w:before="0" w:after="0" w:line="360" w:lineRule="auto"/>
        <w:jc w:val="left"/>
        <w:rPr>
          <w:rFonts w:ascii="Times New Roman" w:hAnsi="Times New Roman" w:eastAsia="Times New Roman" w:cs="Times New Roman"/>
        </w:rPr>
      </w:pPr>
      <w:r>
        <w:rPr>
          <w:rFonts w:ascii="方正仿宋_GB2312" w:hAnsi="方正仿宋_GB2312" w:eastAsia="方正仿宋_GB2312" w:cs="方正仿宋_GB2312"/>
          <w:sz w:val="28"/>
          <w:szCs w:val="28"/>
        </w:rPr>
        <w:t>    投标人选派的项目成员因自身原因造成工作失误，给采购人造成损失的，投标人应承担赔偿责任。</w:t>
      </w:r>
    </w:p>
    <w:p>
      <w:pPr>
        <w:spacing w:before="0" w:after="0" w:line="360" w:lineRule="auto"/>
        <w:jc w:val="left"/>
        <w:rPr>
          <w:rFonts w:ascii="Times New Roman" w:hAnsi="Times New Roman" w:eastAsia="Times New Roman" w:cs="Times New Roman"/>
        </w:rPr>
      </w:pPr>
      <w:r>
        <w:rPr>
          <w:rFonts w:ascii="方正仿宋_GB2312" w:hAnsi="方正仿宋_GB2312" w:eastAsia="方正仿宋_GB2312" w:cs="方正仿宋_GB2312"/>
          <w:sz w:val="28"/>
          <w:szCs w:val="28"/>
        </w:rPr>
        <w:t>    投标人选派的项目成员的相关费用已包含在投标总价中，相关费用包括但不限于人员差旅费、出差补助、工资等。</w:t>
      </w:r>
    </w:p>
    <w:p>
      <w:pPr>
        <w:pStyle w:val="4"/>
        <w:keepNext w:val="0"/>
        <w:spacing w:before="0" w:after="0" w:line="360" w:lineRule="auto"/>
        <w:rPr>
          <w:rFonts w:ascii="仿宋_GB2312" w:hAnsi="仿宋_GB2312" w:eastAsia="仿宋_GB2312" w:cs="仿宋_GB2312"/>
          <w:b/>
          <w:bCs/>
          <w:sz w:val="28"/>
          <w:szCs w:val="28"/>
        </w:rPr>
      </w:pPr>
      <w:bookmarkStart w:id="49" w:name="_Toc256000047"/>
      <w:r>
        <w:rPr>
          <w:rFonts w:ascii="仿宋_GB2312" w:hAnsi="仿宋_GB2312" w:eastAsia="仿宋_GB2312" w:cs="仿宋_GB2312"/>
          <w:sz w:val="28"/>
          <w:szCs w:val="28"/>
        </w:rPr>
        <w:t>4.2.3优选资质/优选指标</w:t>
      </w:r>
      <w:bookmarkEnd w:id="49"/>
    </w:p>
    <w:tbl>
      <w:tblPr>
        <w:tblStyle w:val="9"/>
        <w:tblW w:w="5000" w:type="pct"/>
        <w:tblInd w:w="30" w:type="dxa"/>
        <w:tblLayout w:type="autofit"/>
        <w:tblCellMar>
          <w:top w:w="15" w:type="dxa"/>
          <w:left w:w="15" w:type="dxa"/>
          <w:bottom w:w="15" w:type="dxa"/>
          <w:right w:w="15" w:type="dxa"/>
        </w:tblCellMar>
      </w:tblPr>
      <w:tblGrid>
        <w:gridCol w:w="926"/>
        <w:gridCol w:w="2036"/>
        <w:gridCol w:w="2036"/>
        <w:gridCol w:w="2036"/>
        <w:gridCol w:w="2036"/>
      </w:tblGrid>
      <w:tr>
        <w:tblPrEx>
          <w:tblCellMar>
            <w:top w:w="15" w:type="dxa"/>
            <w:left w:w="15" w:type="dxa"/>
            <w:bottom w:w="15" w:type="dxa"/>
            <w:right w:w="15" w:type="dxa"/>
          </w:tblCellMar>
        </w:tblPrEx>
        <w:tc>
          <w:tcPr>
            <w:tcW w:w="5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序号</w:t>
            </w:r>
          </w:p>
        </w:tc>
        <w:tc>
          <w:tcPr>
            <w:tcW w:w="11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人员类别</w:t>
            </w:r>
          </w:p>
        </w:tc>
        <w:tc>
          <w:tcPr>
            <w:tcW w:w="11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人员岗位</w:t>
            </w:r>
          </w:p>
        </w:tc>
        <w:tc>
          <w:tcPr>
            <w:tcW w:w="11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人员要求</w:t>
            </w:r>
          </w:p>
        </w:tc>
        <w:tc>
          <w:tcPr>
            <w:tcW w:w="11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是否作为加分项</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管理类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项目经理</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满足以下条件可予以加分：具有信息系统项目管理师资格认证证书。</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是</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项目技术人员</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满足以下条件可予以加分：具有计算机技术与软件专业技术资格（水平）高级认证证书。</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是</w:t>
            </w:r>
          </w:p>
        </w:tc>
      </w:tr>
    </w:tbl>
    <w:p>
      <w:pPr>
        <w:pStyle w:val="2"/>
        <w:keepNext w:val="0"/>
        <w:spacing w:before="0" w:after="0" w:line="360" w:lineRule="auto"/>
        <w:jc w:val="center"/>
        <w:rPr>
          <w:rFonts w:ascii="仿宋_GB2312" w:hAnsi="仿宋_GB2312" w:eastAsia="仿宋_GB2312" w:cs="仿宋_GB2312"/>
          <w:b/>
          <w:bCs/>
          <w:sz w:val="32"/>
          <w:szCs w:val="32"/>
        </w:rPr>
      </w:pPr>
      <w:bookmarkStart w:id="50" w:name="_Toc256000048"/>
      <w:r>
        <w:rPr>
          <w:rFonts w:ascii="仿宋_GB2312" w:hAnsi="仿宋_GB2312" w:eastAsia="仿宋_GB2312" w:cs="仿宋_GB2312"/>
          <w:kern w:val="36"/>
        </w:rPr>
        <w:t>5管理实施要求</w:t>
      </w:r>
      <w:bookmarkEnd w:id="50"/>
    </w:p>
    <w:p>
      <w:pPr>
        <w:pStyle w:val="3"/>
        <w:keepNext w:val="0"/>
        <w:spacing w:before="0" w:after="0" w:line="360" w:lineRule="auto"/>
        <w:rPr>
          <w:rFonts w:ascii="仿宋_GB2312" w:hAnsi="仿宋_GB2312" w:eastAsia="仿宋_GB2312" w:cs="仿宋_GB2312"/>
          <w:b/>
          <w:bCs/>
          <w:sz w:val="28"/>
          <w:szCs w:val="28"/>
        </w:rPr>
      </w:pPr>
      <w:bookmarkStart w:id="51" w:name="_Toc256000049"/>
      <w:r>
        <w:rPr>
          <w:rFonts w:ascii="仿宋_GB2312" w:hAnsi="仿宋_GB2312" w:eastAsia="仿宋_GB2312" w:cs="仿宋_GB2312"/>
          <w:i w:val="0"/>
          <w:iCs w:val="0"/>
        </w:rPr>
        <w:t>5.1总体要求</w:t>
      </w:r>
      <w:bookmarkEnd w:id="51"/>
    </w:p>
    <w:p>
      <w:pPr>
        <w:spacing w:before="0" w:after="0" w:line="360" w:lineRule="auto"/>
        <w:jc w:val="left"/>
        <w:rPr>
          <w:rFonts w:ascii="Times New Roman" w:hAnsi="Times New Roman" w:eastAsia="Times New Roman" w:cs="Times New Roman"/>
        </w:rPr>
      </w:pPr>
      <w:r>
        <w:rPr>
          <w:rFonts w:ascii="方正仿宋_GB2312" w:hAnsi="方正仿宋_GB2312" w:eastAsia="方正仿宋_GB2312" w:cs="方正仿宋_GB2312"/>
          <w:sz w:val="28"/>
          <w:szCs w:val="28"/>
        </w:rPr>
        <w:t>    1.投标人应充分了解采购人所采购设备的部署环境要求、云平台扩容技术要求、集成实施要求等，制定详细的项目实施方案和实施进度计划，完成全部硬件集成实施内容，协助做好电子发票服务平台等金税四期应用上线运行的技术支持工作和故障处理工作，确保采购的相关软硬件系统可以正常使用，确保本项目安全稳定上线运行，实施方案要完整、科学和可控。所有项目实施工作的费用均包含在投标报价中，采购人不再另行支付费用。</w:t>
      </w:r>
    </w:p>
    <w:p>
      <w:pPr>
        <w:spacing w:before="0" w:after="0" w:line="360" w:lineRule="auto"/>
        <w:jc w:val="left"/>
        <w:rPr>
          <w:rFonts w:ascii="Times New Roman" w:hAnsi="Times New Roman" w:eastAsia="Times New Roman" w:cs="Times New Roman"/>
        </w:rPr>
      </w:pPr>
      <w:r>
        <w:rPr>
          <w:rFonts w:ascii="方正仿宋_GB2312" w:hAnsi="方正仿宋_GB2312" w:eastAsia="方正仿宋_GB2312" w:cs="方正仿宋_GB2312"/>
          <w:sz w:val="28"/>
          <w:szCs w:val="28"/>
        </w:rPr>
        <w:t>    2.投标人对所供的货物在正确安装、正常使用和保养的条件下，因设计、工艺、材质的缺陷而导致的任何事故、故障、潜在风险等承担全部责任。</w:t>
      </w:r>
    </w:p>
    <w:p>
      <w:pPr>
        <w:spacing w:before="0" w:after="0" w:line="360" w:lineRule="auto"/>
        <w:jc w:val="left"/>
        <w:rPr>
          <w:rFonts w:ascii="Times New Roman" w:hAnsi="Times New Roman" w:eastAsia="Times New Roman" w:cs="Times New Roman"/>
        </w:rPr>
      </w:pPr>
      <w:r>
        <w:rPr>
          <w:rFonts w:ascii="方正仿宋_GB2312" w:hAnsi="方正仿宋_GB2312" w:eastAsia="方正仿宋_GB2312" w:cs="方正仿宋_GB2312"/>
          <w:sz w:val="28"/>
          <w:szCs w:val="28"/>
        </w:rPr>
        <w:t>    3.投标人必须按照合同的规定，准时提供货物、配件、材料、工具及各种资料，并负责所供货物、配件、材料及工具的包装、运输和安装调试等，所有设备的安装及运输费用包含在本项目报价中，采购人不再单独支付相关费用。</w:t>
      </w:r>
    </w:p>
    <w:p>
      <w:pPr>
        <w:spacing w:before="0" w:after="0" w:line="360" w:lineRule="auto"/>
        <w:jc w:val="left"/>
        <w:rPr>
          <w:rFonts w:ascii="Times New Roman" w:hAnsi="Times New Roman" w:eastAsia="Times New Roman" w:cs="Times New Roman"/>
        </w:rPr>
      </w:pPr>
      <w:r>
        <w:rPr>
          <w:rFonts w:ascii="方正仿宋_GB2312" w:hAnsi="方正仿宋_GB2312" w:eastAsia="方正仿宋_GB2312" w:cs="方正仿宋_GB2312"/>
          <w:sz w:val="28"/>
          <w:szCs w:val="28"/>
        </w:rPr>
        <w:t>    4.投标人应能长期提供优良的技术支持及零配件供应。</w:t>
      </w:r>
    </w:p>
    <w:p>
      <w:pPr>
        <w:pStyle w:val="3"/>
        <w:keepNext w:val="0"/>
        <w:spacing w:before="0" w:after="0" w:line="360" w:lineRule="auto"/>
        <w:rPr>
          <w:rFonts w:ascii="仿宋_GB2312" w:hAnsi="仿宋_GB2312" w:eastAsia="仿宋_GB2312" w:cs="仿宋_GB2312"/>
          <w:b/>
          <w:bCs/>
          <w:sz w:val="28"/>
          <w:szCs w:val="28"/>
        </w:rPr>
      </w:pPr>
      <w:bookmarkStart w:id="52" w:name="_Toc256000050"/>
      <w:r>
        <w:rPr>
          <w:rFonts w:ascii="仿宋_GB2312" w:hAnsi="仿宋_GB2312" w:eastAsia="仿宋_GB2312" w:cs="仿宋_GB2312"/>
          <w:i w:val="0"/>
          <w:iCs w:val="0"/>
        </w:rPr>
        <w:t>5.2实施要求</w:t>
      </w:r>
      <w:bookmarkEnd w:id="52"/>
    </w:p>
    <w:p>
      <w:pPr>
        <w:pStyle w:val="4"/>
        <w:keepNext w:val="0"/>
        <w:spacing w:before="0" w:after="0" w:line="360" w:lineRule="auto"/>
        <w:rPr>
          <w:rFonts w:ascii="Arial" w:hAnsi="Arial" w:eastAsia="Arial" w:cs="Arial"/>
          <w:b/>
          <w:bCs/>
          <w:sz w:val="26"/>
          <w:szCs w:val="26"/>
        </w:rPr>
      </w:pPr>
      <w:r>
        <w:rPr>
          <w:rFonts w:ascii="方正仿宋_GB2312" w:hAnsi="方正仿宋_GB2312" w:eastAsia="方正仿宋_GB2312" w:cs="方正仿宋_GB2312"/>
          <w:sz w:val="28"/>
          <w:szCs w:val="28"/>
        </w:rPr>
        <w:t xml:space="preserve">    </w:t>
      </w:r>
      <w:bookmarkStart w:id="53" w:name="_Toc256000051"/>
      <w:r>
        <w:rPr>
          <w:rFonts w:ascii="方正仿宋_GB2312" w:hAnsi="方正仿宋_GB2312" w:eastAsia="方正仿宋_GB2312" w:cs="方正仿宋_GB2312"/>
          <w:sz w:val="28"/>
          <w:szCs w:val="28"/>
        </w:rPr>
        <w:t>5.2.1实施方案要求</w:t>
      </w:r>
      <w:bookmarkEnd w:id="53"/>
    </w:p>
    <w:p>
      <w:pPr>
        <w:pStyle w:val="12"/>
        <w:spacing w:before="0" w:after="0" w:line="360" w:lineRule="auto"/>
        <w:ind w:left="0" w:right="0" w:firstLine="560"/>
      </w:pPr>
      <w:r>
        <w:rPr>
          <w:rFonts w:ascii="方正仿宋_GB2312" w:hAnsi="方正仿宋_GB2312" w:eastAsia="方正仿宋_GB2312" w:cs="方正仿宋_GB2312"/>
          <w:sz w:val="28"/>
          <w:szCs w:val="28"/>
        </w:rPr>
        <w:t>投标人须提供详细的实施方案和实施进度计划表。实施方案包括但不限于实施组织架构、实施内容、实施步骤过程。</w:t>
      </w:r>
    </w:p>
    <w:p>
      <w:pPr>
        <w:pStyle w:val="12"/>
        <w:spacing w:before="0" w:after="0" w:line="360" w:lineRule="auto"/>
        <w:ind w:left="0" w:right="0"/>
      </w:pPr>
      <w:r>
        <w:rPr>
          <w:rFonts w:ascii="方正仿宋_GB2312" w:hAnsi="方正仿宋_GB2312" w:eastAsia="方正仿宋_GB2312" w:cs="方正仿宋_GB2312"/>
          <w:b/>
          <w:bCs/>
          <w:sz w:val="28"/>
          <w:szCs w:val="28"/>
        </w:rPr>
        <w:t>    5.2.2实施过程要求</w:t>
      </w:r>
    </w:p>
    <w:p>
      <w:pPr>
        <w:pStyle w:val="12"/>
        <w:spacing w:before="0" w:after="0" w:line="360" w:lineRule="auto"/>
        <w:ind w:left="0" w:right="0" w:firstLine="560"/>
      </w:pPr>
      <w:r>
        <w:rPr>
          <w:rFonts w:ascii="方正仿宋_GB2312" w:hAnsi="方正仿宋_GB2312" w:eastAsia="方正仿宋_GB2312" w:cs="方正仿宋_GB2312"/>
          <w:sz w:val="28"/>
          <w:szCs w:val="28"/>
        </w:rPr>
        <w:t>1.设备到货。合同签订后，投标人应及时组织供货，全部货物均应按标准保护措施进行包装，确保货物安全无损地运抵指定地点。若包装不善所引起的标的物锈蚀、损坏和损失等一切风险均由投标人承担。设备到达交货现场后，投标人必须派员到现场与采购人指定的接收人一起开箱验收,若有缺少或损坏，投标人应立即补足或更换全新同规格产品，并承担相关费用。</w:t>
      </w:r>
    </w:p>
    <w:p>
      <w:pPr>
        <w:pStyle w:val="12"/>
        <w:spacing w:before="0" w:after="0" w:line="360" w:lineRule="auto"/>
        <w:ind w:left="0" w:right="0" w:firstLine="560"/>
      </w:pPr>
      <w:r>
        <w:rPr>
          <w:rFonts w:ascii="方正仿宋_GB2312" w:hAnsi="方正仿宋_GB2312" w:eastAsia="方正仿宋_GB2312" w:cs="方正仿宋_GB2312"/>
          <w:sz w:val="28"/>
          <w:szCs w:val="28"/>
        </w:rPr>
        <w:t>2.安装部署。投标人在设备交货后，按采购人要求完成设备上架、安装部署、加电测试等，设备的安装必须符合有关标准和规范。投标</w:t>
      </w:r>
      <w:r>
        <w:rPr>
          <w:rFonts w:hint="eastAsia" w:ascii="方正仿宋_GB2312" w:hAnsi="方正仿宋_GB2312" w:eastAsia="方正仿宋_GB2312" w:cs="方正仿宋_GB2312"/>
          <w:sz w:val="28"/>
          <w:szCs w:val="28"/>
          <w:lang w:eastAsia="zh-CN"/>
        </w:rPr>
        <w:t>人</w:t>
      </w:r>
      <w:r>
        <w:rPr>
          <w:rFonts w:ascii="方正仿宋_GB2312" w:hAnsi="方正仿宋_GB2312" w:eastAsia="方正仿宋_GB2312" w:cs="方正仿宋_GB2312"/>
          <w:sz w:val="28"/>
          <w:szCs w:val="28"/>
        </w:rPr>
        <w:t>所提供的各类设备如需使用特别接头、插座等，由投标</w:t>
      </w:r>
      <w:r>
        <w:rPr>
          <w:rFonts w:hint="eastAsia" w:ascii="方正仿宋_GB2312" w:hAnsi="方正仿宋_GB2312" w:eastAsia="方正仿宋_GB2312" w:cs="方正仿宋_GB2312"/>
          <w:sz w:val="28"/>
          <w:szCs w:val="28"/>
          <w:lang w:eastAsia="zh-CN"/>
        </w:rPr>
        <w:t>人</w:t>
      </w:r>
      <w:r>
        <w:rPr>
          <w:rFonts w:ascii="方正仿宋_GB2312" w:hAnsi="方正仿宋_GB2312" w:eastAsia="方正仿宋_GB2312" w:cs="方正仿宋_GB2312"/>
          <w:sz w:val="28"/>
          <w:szCs w:val="28"/>
        </w:rPr>
        <w:t>提供。另外，所投设备的用电保护如果超过一般线路保护，保护设备也由投标</w:t>
      </w:r>
      <w:r>
        <w:rPr>
          <w:rFonts w:hint="eastAsia" w:ascii="方正仿宋_GB2312" w:hAnsi="方正仿宋_GB2312" w:eastAsia="方正仿宋_GB2312" w:cs="方正仿宋_GB2312"/>
          <w:sz w:val="28"/>
          <w:szCs w:val="28"/>
          <w:lang w:eastAsia="zh-CN"/>
        </w:rPr>
        <w:t>人</w:t>
      </w:r>
      <w:r>
        <w:rPr>
          <w:rFonts w:ascii="方正仿宋_GB2312" w:hAnsi="方正仿宋_GB2312" w:eastAsia="方正仿宋_GB2312" w:cs="方正仿宋_GB2312"/>
          <w:sz w:val="28"/>
          <w:szCs w:val="28"/>
        </w:rPr>
        <w:t>提供。安装过程中采购人将对设备的安装质量进行监督。</w:t>
      </w:r>
    </w:p>
    <w:p>
      <w:pPr>
        <w:pStyle w:val="12"/>
        <w:spacing w:before="0" w:after="0" w:line="360" w:lineRule="auto"/>
        <w:ind w:left="0" w:right="0" w:firstLine="560"/>
      </w:pPr>
      <w:r>
        <w:rPr>
          <w:rFonts w:ascii="方正仿宋_GB2312" w:hAnsi="方正仿宋_GB2312" w:eastAsia="方正仿宋_GB2312" w:cs="方正仿宋_GB2312"/>
          <w:sz w:val="28"/>
          <w:szCs w:val="28"/>
        </w:rPr>
        <w:t>3.硬件集成。对于服务器、网络设备，投标人按照采购人要求，完成云平台硬件集成实施服务；对于安全设备、空调设备，投标人按照采购人要求，完成设备配置、入网和调试等实施服务，确保设备可以正常投入运行。</w:t>
      </w:r>
    </w:p>
    <w:p>
      <w:pPr>
        <w:pStyle w:val="12"/>
        <w:spacing w:before="0" w:after="0" w:line="360" w:lineRule="auto"/>
        <w:ind w:left="0" w:right="0" w:firstLine="560"/>
      </w:pPr>
      <w:r>
        <w:rPr>
          <w:rFonts w:ascii="方正仿宋_GB2312" w:hAnsi="方正仿宋_GB2312" w:eastAsia="方正仿宋_GB2312" w:cs="方正仿宋_GB2312"/>
          <w:sz w:val="28"/>
          <w:szCs w:val="28"/>
        </w:rPr>
        <w:t>4.联调测试。投标人应根据采购人要求完成所提供所有设备和软件系统的联调测试和适配。投标人应该充分了解本次招标涉及的设备集成内容，并提前做好与相关厂商的协调，必须确保能够完成全部集成内容和联调测试。</w:t>
      </w:r>
    </w:p>
    <w:p>
      <w:pPr>
        <w:pStyle w:val="12"/>
        <w:spacing w:before="0" w:after="0" w:line="360" w:lineRule="auto"/>
        <w:ind w:left="0" w:right="0" w:firstLine="560"/>
      </w:pPr>
      <w:r>
        <w:rPr>
          <w:rFonts w:ascii="方正仿宋_GB2312" w:hAnsi="方正仿宋_GB2312" w:eastAsia="方正仿宋_GB2312" w:cs="方正仿宋_GB2312"/>
          <w:sz w:val="28"/>
          <w:szCs w:val="28"/>
        </w:rPr>
        <w:t>5.用户培训。投标人须按采购人要求开展服务器等硬件设备的用户操作和维护培训，并提供相关培训资料。</w:t>
      </w:r>
    </w:p>
    <w:p>
      <w:pPr>
        <w:pStyle w:val="12"/>
        <w:spacing w:before="0" w:after="0" w:line="360" w:lineRule="auto"/>
        <w:ind w:left="0" w:right="0" w:firstLine="560"/>
      </w:pPr>
      <w:r>
        <w:rPr>
          <w:rFonts w:ascii="方正仿宋_GB2312" w:hAnsi="方正仿宋_GB2312" w:eastAsia="方正仿宋_GB2312" w:cs="方正仿宋_GB2312"/>
          <w:sz w:val="28"/>
          <w:szCs w:val="28"/>
        </w:rPr>
        <w:t>6.试运行。投标人在项目初步验收通过后，按采购人要求做好试运行工作，收集整理试运行过程中出现的各类问题，并及时解决。</w:t>
      </w:r>
    </w:p>
    <w:p>
      <w:pPr>
        <w:pStyle w:val="3"/>
        <w:keepNext w:val="0"/>
        <w:spacing w:before="0" w:after="0" w:line="360" w:lineRule="auto"/>
        <w:rPr>
          <w:rFonts w:ascii="仿宋_GB2312" w:hAnsi="仿宋_GB2312" w:eastAsia="仿宋_GB2312" w:cs="仿宋_GB2312"/>
          <w:b/>
          <w:bCs/>
          <w:sz w:val="28"/>
          <w:szCs w:val="28"/>
        </w:rPr>
      </w:pPr>
      <w:bookmarkStart w:id="54" w:name="_Toc256000052"/>
      <w:r>
        <w:rPr>
          <w:rFonts w:ascii="仿宋_GB2312" w:hAnsi="仿宋_GB2312" w:eastAsia="仿宋_GB2312" w:cs="仿宋_GB2312"/>
          <w:i w:val="0"/>
          <w:iCs w:val="0"/>
        </w:rPr>
        <w:t>5.3项目管控要求</w:t>
      </w:r>
      <w:bookmarkEnd w:id="54"/>
    </w:p>
    <w:p>
      <w:pPr>
        <w:pStyle w:val="4"/>
        <w:keepNext w:val="0"/>
        <w:spacing w:before="0" w:after="0" w:line="360" w:lineRule="auto"/>
        <w:rPr>
          <w:rFonts w:ascii="Arial" w:hAnsi="Arial" w:eastAsia="Arial" w:cs="Arial"/>
          <w:b/>
          <w:bCs/>
          <w:sz w:val="26"/>
          <w:szCs w:val="26"/>
        </w:rPr>
      </w:pPr>
      <w:r>
        <w:rPr>
          <w:rFonts w:ascii="方正仿宋_GB2312" w:hAnsi="方正仿宋_GB2312" w:eastAsia="方正仿宋_GB2312" w:cs="方正仿宋_GB2312"/>
          <w:sz w:val="28"/>
          <w:szCs w:val="28"/>
        </w:rPr>
        <w:t xml:space="preserve">    </w:t>
      </w:r>
      <w:bookmarkStart w:id="55" w:name="_Toc256000053"/>
      <w:r>
        <w:rPr>
          <w:rFonts w:ascii="方正仿宋_GB2312" w:hAnsi="方正仿宋_GB2312" w:eastAsia="方正仿宋_GB2312" w:cs="方正仿宋_GB2312"/>
          <w:sz w:val="28"/>
          <w:szCs w:val="28"/>
        </w:rPr>
        <w:t>5.3.1沟通管理要求</w:t>
      </w:r>
      <w:bookmarkEnd w:id="55"/>
    </w:p>
    <w:p>
      <w:pPr>
        <w:pStyle w:val="12"/>
        <w:spacing w:before="0" w:after="0" w:line="360" w:lineRule="auto"/>
        <w:ind w:left="0" w:right="0" w:firstLine="560"/>
      </w:pPr>
      <w:r>
        <w:rPr>
          <w:rFonts w:ascii="方正仿宋_GB2312" w:hAnsi="方正仿宋_GB2312" w:eastAsia="方正仿宋_GB2312" w:cs="方正仿宋_GB2312"/>
          <w:sz w:val="28"/>
          <w:szCs w:val="28"/>
        </w:rPr>
        <w:t>项目实施过程中，投标人须通过建立制度化的沟通渠道等方式，加强与采购人的沟通。投标人须遵守采购人项目管理相关规定，接受采购人管理，就项目进展情况、存在的问题、需要协调的主要事项、下一阶段工作计划等与采购人进行适时地沟通协调。</w:t>
      </w:r>
    </w:p>
    <w:p>
      <w:pPr>
        <w:pStyle w:val="4"/>
        <w:keepNext w:val="0"/>
        <w:spacing w:before="0" w:after="0" w:line="360" w:lineRule="auto"/>
        <w:rPr>
          <w:rFonts w:ascii="Arial" w:hAnsi="Arial" w:eastAsia="Arial" w:cs="Arial"/>
          <w:b/>
          <w:bCs/>
          <w:sz w:val="26"/>
          <w:szCs w:val="26"/>
        </w:rPr>
      </w:pPr>
      <w:r>
        <w:rPr>
          <w:rFonts w:ascii="方正仿宋_GB2312" w:hAnsi="方正仿宋_GB2312" w:eastAsia="方正仿宋_GB2312" w:cs="方正仿宋_GB2312"/>
          <w:sz w:val="28"/>
          <w:szCs w:val="28"/>
        </w:rPr>
        <w:t xml:space="preserve">    </w:t>
      </w:r>
      <w:bookmarkStart w:id="56" w:name="_Toc256000054"/>
      <w:r>
        <w:rPr>
          <w:rFonts w:ascii="方正仿宋_GB2312" w:hAnsi="方正仿宋_GB2312" w:eastAsia="方正仿宋_GB2312" w:cs="方正仿宋_GB2312"/>
          <w:sz w:val="28"/>
          <w:szCs w:val="28"/>
        </w:rPr>
        <w:t>5.3.2进度管理要求</w:t>
      </w:r>
      <w:bookmarkEnd w:id="56"/>
    </w:p>
    <w:p>
      <w:pPr>
        <w:pStyle w:val="12"/>
        <w:spacing w:before="0" w:after="0" w:line="360" w:lineRule="auto"/>
        <w:ind w:left="0" w:right="0" w:firstLine="560"/>
      </w:pPr>
      <w:r>
        <w:rPr>
          <w:rFonts w:ascii="方正仿宋_GB2312" w:hAnsi="方正仿宋_GB2312" w:eastAsia="方正仿宋_GB2312" w:cs="方正仿宋_GB2312"/>
          <w:sz w:val="28"/>
          <w:szCs w:val="28"/>
        </w:rPr>
        <w:t>投标人应自合同签订之日起，做好项目实施的准备工作，提供详细、可行的实施方案和进度计划，在规定时限内完成项目实施工作内容。</w:t>
      </w:r>
    </w:p>
    <w:p>
      <w:pPr>
        <w:pStyle w:val="4"/>
        <w:keepNext w:val="0"/>
        <w:spacing w:before="0" w:after="0" w:line="360" w:lineRule="auto"/>
        <w:rPr>
          <w:rFonts w:ascii="Arial" w:hAnsi="Arial" w:eastAsia="Arial" w:cs="Arial"/>
          <w:b/>
          <w:bCs/>
          <w:sz w:val="26"/>
          <w:szCs w:val="26"/>
        </w:rPr>
      </w:pPr>
      <w:r>
        <w:rPr>
          <w:rFonts w:ascii="方正仿宋_GB2312" w:hAnsi="方正仿宋_GB2312" w:eastAsia="方正仿宋_GB2312" w:cs="方正仿宋_GB2312"/>
          <w:sz w:val="28"/>
          <w:szCs w:val="28"/>
        </w:rPr>
        <w:t xml:space="preserve">    </w:t>
      </w:r>
      <w:bookmarkStart w:id="57" w:name="_Toc256000055"/>
      <w:r>
        <w:rPr>
          <w:rFonts w:ascii="方正仿宋_GB2312" w:hAnsi="方正仿宋_GB2312" w:eastAsia="方正仿宋_GB2312" w:cs="方正仿宋_GB2312"/>
          <w:sz w:val="28"/>
          <w:szCs w:val="28"/>
        </w:rPr>
        <w:t>5.3.4变更管理要求</w:t>
      </w:r>
      <w:bookmarkEnd w:id="57"/>
    </w:p>
    <w:p>
      <w:pPr>
        <w:pStyle w:val="17"/>
        <w:spacing w:before="0" w:after="0" w:line="360" w:lineRule="auto"/>
        <w:ind w:firstLine="560"/>
      </w:pPr>
      <w:r>
        <w:rPr>
          <w:rFonts w:ascii="方正仿宋_GB2312" w:hAnsi="方正仿宋_GB2312" w:eastAsia="方正仿宋_GB2312" w:cs="方正仿宋_GB2312"/>
          <w:sz w:val="28"/>
          <w:szCs w:val="28"/>
        </w:rPr>
        <w:t>投标人制定完善的变更管理机制，实施过程中因特殊情况需要变更实施事项或时间节点的，需提前向采购人提出申请，说明变更原因、变更内容、变更对项目的影响分析以及变更实施方案建议等。因投标人提出的变更申请所造成的项目损失或产生的额外费用，由投标人独立承担。</w:t>
      </w:r>
    </w:p>
    <w:p>
      <w:pPr>
        <w:pStyle w:val="4"/>
        <w:keepNext w:val="0"/>
        <w:spacing w:before="0" w:after="0" w:line="360" w:lineRule="auto"/>
        <w:rPr>
          <w:rFonts w:ascii="Arial" w:hAnsi="Arial" w:eastAsia="Arial" w:cs="Arial"/>
          <w:b/>
          <w:bCs/>
          <w:sz w:val="26"/>
          <w:szCs w:val="26"/>
        </w:rPr>
      </w:pPr>
      <w:r>
        <w:rPr>
          <w:rFonts w:ascii="方正仿宋_GB2312" w:hAnsi="方正仿宋_GB2312" w:eastAsia="方正仿宋_GB2312" w:cs="方正仿宋_GB2312"/>
          <w:sz w:val="28"/>
          <w:szCs w:val="28"/>
        </w:rPr>
        <w:t xml:space="preserve">    </w:t>
      </w:r>
      <w:bookmarkStart w:id="58" w:name="_Toc256000056"/>
      <w:r>
        <w:rPr>
          <w:rFonts w:ascii="方正仿宋_GB2312" w:hAnsi="方正仿宋_GB2312" w:eastAsia="方正仿宋_GB2312" w:cs="方正仿宋_GB2312"/>
          <w:sz w:val="28"/>
          <w:szCs w:val="28"/>
        </w:rPr>
        <w:t>5.3.5团队管理要求</w:t>
      </w:r>
      <w:bookmarkEnd w:id="58"/>
    </w:p>
    <w:p>
      <w:pPr>
        <w:keepNext w:val="0"/>
        <w:spacing w:before="0" w:after="0" w:line="360" w:lineRule="auto"/>
        <w:outlineLvl w:val="9"/>
        <w:rPr>
          <w:rFonts w:ascii="仿宋_GB2312" w:hAnsi="仿宋_GB2312" w:eastAsia="仿宋_GB2312" w:cs="仿宋_GB2312"/>
          <w:sz w:val="28"/>
          <w:szCs w:val="28"/>
        </w:rPr>
      </w:pPr>
      <w:r>
        <w:rPr>
          <w:rFonts w:ascii="方正仿宋_GB2312" w:hAnsi="方正仿宋_GB2312" w:eastAsia="方正仿宋_GB2312" w:cs="方正仿宋_GB2312"/>
          <w:sz w:val="28"/>
          <w:szCs w:val="28"/>
        </w:rPr>
        <w:t>     项目团队必须严格遵守国家的政策法规，执行采购人的各项规章制度，服从采购人管理和调度，认真履行工作职责，圆满完成工作任务。</w:t>
      </w:r>
    </w:p>
    <w:p>
      <w:pPr>
        <w:pStyle w:val="4"/>
        <w:keepNext w:val="0"/>
        <w:spacing w:before="0" w:after="0" w:line="360" w:lineRule="auto"/>
        <w:rPr>
          <w:rFonts w:ascii="Arial" w:hAnsi="Arial" w:eastAsia="Arial" w:cs="Arial"/>
          <w:b/>
          <w:bCs/>
          <w:sz w:val="26"/>
          <w:szCs w:val="26"/>
        </w:rPr>
      </w:pPr>
      <w:r>
        <w:rPr>
          <w:rFonts w:ascii="方正仿宋_GB2312" w:hAnsi="方正仿宋_GB2312" w:eastAsia="方正仿宋_GB2312" w:cs="方正仿宋_GB2312"/>
          <w:sz w:val="28"/>
          <w:szCs w:val="28"/>
        </w:rPr>
        <w:t>     </w:t>
      </w:r>
      <w:bookmarkStart w:id="59" w:name="_Toc256000058"/>
      <w:r>
        <w:rPr>
          <w:rFonts w:ascii="方正仿宋_GB2312" w:hAnsi="方正仿宋_GB2312" w:eastAsia="方正仿宋_GB2312" w:cs="方正仿宋_GB2312"/>
          <w:sz w:val="28"/>
          <w:szCs w:val="28"/>
        </w:rPr>
        <w:t>5.3.6安全管理要求</w:t>
      </w:r>
      <w:bookmarkEnd w:id="59"/>
    </w:p>
    <w:p>
      <w:pPr>
        <w:pStyle w:val="12"/>
        <w:spacing w:before="0" w:after="0" w:line="360" w:lineRule="auto"/>
        <w:ind w:left="0" w:right="0"/>
      </w:pPr>
      <w:r>
        <w:rPr>
          <w:rFonts w:ascii="方正仿宋_GB2312" w:hAnsi="方正仿宋_GB2312" w:eastAsia="方正仿宋_GB2312" w:cs="方正仿宋_GB2312"/>
          <w:sz w:val="28"/>
          <w:szCs w:val="28"/>
        </w:rPr>
        <w:t>    投标人应严格遵守国家安全法律法规和采购人安全要求，遵循采购人各项安全规章制度要求，建立完善的安全管理体系，确保服务在实施过程中符合安全标准，并提供必要的安全培训和应急响应措施。</w:t>
      </w:r>
    </w:p>
    <w:p>
      <w:pPr>
        <w:pStyle w:val="3"/>
        <w:keepNext w:val="0"/>
        <w:spacing w:before="0" w:after="0" w:line="360" w:lineRule="auto"/>
        <w:rPr>
          <w:rFonts w:ascii="仿宋_GB2312" w:hAnsi="仿宋_GB2312" w:eastAsia="仿宋_GB2312" w:cs="仿宋_GB2312"/>
          <w:b/>
          <w:bCs/>
          <w:sz w:val="28"/>
          <w:szCs w:val="28"/>
        </w:rPr>
      </w:pPr>
      <w:bookmarkStart w:id="60" w:name="_Toc256000059"/>
      <w:r>
        <w:rPr>
          <w:rFonts w:ascii="仿宋_GB2312" w:hAnsi="仿宋_GB2312" w:eastAsia="仿宋_GB2312" w:cs="仿宋_GB2312"/>
          <w:i w:val="0"/>
          <w:iCs w:val="0"/>
        </w:rPr>
        <w:t>5.4质量管理要求</w:t>
      </w:r>
      <w:bookmarkEnd w:id="60"/>
    </w:p>
    <w:p>
      <w:pPr>
        <w:pStyle w:val="12"/>
        <w:spacing w:before="0" w:after="0" w:line="360" w:lineRule="auto"/>
        <w:ind w:left="0" w:right="0"/>
      </w:pPr>
      <w:r>
        <w:rPr>
          <w:rFonts w:ascii="方正仿宋_GB2312" w:hAnsi="方正仿宋_GB2312" w:eastAsia="方正仿宋_GB2312" w:cs="方正仿宋_GB2312"/>
          <w:sz w:val="28"/>
          <w:szCs w:val="28"/>
        </w:rPr>
        <w:t>    投标人应具备完善的质量管理体系，督促落实各环节质量控制内容和目标，保证各个阶段工作满足采购人对质量的要求。投标人应根据项目进度计划，对阶段性工作成果进行审查和测试，并向采购人提交里程碑工作成果，保证各阶段性成果的质量和整个项目的质量。</w:t>
      </w:r>
    </w:p>
    <w:p>
      <w:pPr>
        <w:pStyle w:val="3"/>
        <w:keepNext w:val="0"/>
        <w:spacing w:before="0" w:after="0" w:line="360" w:lineRule="auto"/>
        <w:rPr>
          <w:rFonts w:ascii="仿宋_GB2312" w:hAnsi="仿宋_GB2312" w:eastAsia="仿宋_GB2312" w:cs="仿宋_GB2312"/>
          <w:b/>
          <w:bCs/>
          <w:sz w:val="28"/>
          <w:szCs w:val="28"/>
        </w:rPr>
      </w:pPr>
      <w:bookmarkStart w:id="61" w:name="_Toc256000060"/>
      <w:r>
        <w:rPr>
          <w:rFonts w:ascii="仿宋_GB2312" w:hAnsi="仿宋_GB2312" w:eastAsia="仿宋_GB2312" w:cs="仿宋_GB2312"/>
          <w:i w:val="0"/>
          <w:iCs w:val="0"/>
        </w:rPr>
        <w:t>5.5知识产权要求</w:t>
      </w:r>
      <w:bookmarkEnd w:id="61"/>
    </w:p>
    <w:p>
      <w:pPr>
        <w:pStyle w:val="15"/>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1.投标人在服务过程中产生的所有技术资料、提交件的知识产权归采购人所有。</w:t>
      </w:r>
    </w:p>
    <w:p>
      <w:pPr>
        <w:pStyle w:val="15"/>
        <w:spacing w:before="0" w:after="0" w:line="360" w:lineRule="auto"/>
        <w:rPr>
          <w:rFonts w:ascii="Times New Roman" w:hAnsi="Times New Roman" w:eastAsia="Times New Roman" w:cs="Times New Roman"/>
        </w:rPr>
      </w:pPr>
      <w:r>
        <w:rPr>
          <w:rFonts w:ascii="仿宋_GB2312" w:hAnsi="仿宋_GB2312" w:eastAsia="仿宋_GB2312" w:cs="仿宋_GB2312"/>
          <w:sz w:val="28"/>
          <w:szCs w:val="28"/>
        </w:rPr>
        <w:t>    2.投标人交付给采购人的成果不得侵犯第三方的合法权益。如果采购人因使用本项目成果或其中一部分而被第三方起诉侵犯其专利权、商标权或其它知识产权，投标人将依法承担相应的法律责任。</w:t>
      </w:r>
    </w:p>
    <w:p>
      <w:pPr>
        <w:pStyle w:val="15"/>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3.投标人为执行本合同而提供的与本合同无关的单位或个人的技术资料、软件、工具及投标人已有知识产权产品的使用权归采购人所有。</w:t>
      </w:r>
    </w:p>
    <w:p>
      <w:pPr>
        <w:pStyle w:val="3"/>
        <w:keepNext w:val="0"/>
        <w:spacing w:before="0" w:after="0" w:line="360" w:lineRule="auto"/>
        <w:rPr>
          <w:rFonts w:ascii="仿宋_GB2312" w:hAnsi="仿宋_GB2312" w:eastAsia="仿宋_GB2312" w:cs="仿宋_GB2312"/>
          <w:b/>
          <w:bCs/>
          <w:sz w:val="28"/>
          <w:szCs w:val="28"/>
        </w:rPr>
      </w:pPr>
      <w:bookmarkStart w:id="62" w:name="_Toc256000061"/>
      <w:r>
        <w:rPr>
          <w:rFonts w:ascii="仿宋_GB2312" w:hAnsi="仿宋_GB2312" w:eastAsia="仿宋_GB2312" w:cs="仿宋_GB2312"/>
          <w:i w:val="0"/>
          <w:iCs w:val="0"/>
        </w:rPr>
        <w:t>5.6文档要求</w:t>
      </w:r>
      <w:bookmarkEnd w:id="62"/>
    </w:p>
    <w:p>
      <w:pPr>
        <w:pStyle w:val="15"/>
        <w:spacing w:before="0" w:after="0" w:line="360" w:lineRule="auto"/>
        <w:rPr>
          <w:rFonts w:ascii="Times New Roman" w:hAnsi="Times New Roman" w:eastAsia="Times New Roman" w:cs="Times New Roman"/>
        </w:rPr>
      </w:pPr>
      <w:r>
        <w:rPr>
          <w:rFonts w:ascii="仿宋_GB2312" w:hAnsi="仿宋_GB2312" w:eastAsia="仿宋_GB2312" w:cs="仿宋_GB2312"/>
          <w:sz w:val="28"/>
          <w:szCs w:val="28"/>
        </w:rPr>
        <w:t>    1.投标人须按照采购人相关管理规程，对项目所涉及的工作文档按照采购人提出的质量、数量、提供方式、提供时间等要求进行整理，并按照要求进行移交归档。</w:t>
      </w:r>
    </w:p>
    <w:p>
      <w:pPr>
        <w:pStyle w:val="15"/>
        <w:spacing w:before="0" w:after="0" w:line="360" w:lineRule="auto"/>
        <w:rPr>
          <w:rFonts w:ascii="Times New Roman" w:hAnsi="Times New Roman" w:eastAsia="Times New Roman" w:cs="Times New Roman"/>
        </w:rPr>
      </w:pPr>
      <w:r>
        <w:rPr>
          <w:rFonts w:ascii="仿宋_GB2312" w:hAnsi="仿宋_GB2312" w:eastAsia="仿宋_GB2312" w:cs="仿宋_GB2312"/>
          <w:sz w:val="28"/>
          <w:szCs w:val="28"/>
        </w:rPr>
        <w:t>    2.项目实施过程中，为确保移交文档的一致性和完整性，投标人须按照项目实施计划，分层次、分阶段进行项目文档提交。</w:t>
      </w:r>
    </w:p>
    <w:p>
      <w:pPr>
        <w:pStyle w:val="15"/>
        <w:spacing w:before="0" w:after="0" w:line="360" w:lineRule="auto"/>
        <w:rPr>
          <w:rFonts w:ascii="Times New Roman" w:hAnsi="Times New Roman" w:eastAsia="Times New Roman" w:cs="Times New Roman"/>
        </w:rPr>
      </w:pPr>
      <w:r>
        <w:rPr>
          <w:rFonts w:ascii="仿宋_GB2312" w:hAnsi="仿宋_GB2312" w:eastAsia="仿宋_GB2312" w:cs="仿宋_GB2312"/>
          <w:sz w:val="28"/>
          <w:szCs w:val="28"/>
        </w:rPr>
        <w:t>    3.项目结束时，投标人须按照项目要求及时向采购人移交项目所有相关文档。</w:t>
      </w:r>
    </w:p>
    <w:p>
      <w:pPr>
        <w:pStyle w:val="2"/>
        <w:keepNext w:val="0"/>
        <w:spacing w:before="0" w:after="0" w:line="360" w:lineRule="auto"/>
        <w:jc w:val="center"/>
        <w:rPr>
          <w:rFonts w:ascii="仿宋_GB2312" w:hAnsi="仿宋_GB2312" w:eastAsia="仿宋_GB2312" w:cs="仿宋_GB2312"/>
          <w:b/>
          <w:bCs/>
          <w:sz w:val="32"/>
          <w:szCs w:val="32"/>
        </w:rPr>
      </w:pPr>
      <w:bookmarkStart w:id="63" w:name="_Toc256000062"/>
      <w:r>
        <w:rPr>
          <w:rFonts w:ascii="仿宋_GB2312" w:hAnsi="仿宋_GB2312" w:eastAsia="仿宋_GB2312" w:cs="仿宋_GB2312"/>
          <w:kern w:val="36"/>
        </w:rPr>
        <w:t>6风险管控要求</w:t>
      </w:r>
      <w:bookmarkEnd w:id="63"/>
    </w:p>
    <w:p>
      <w:pPr>
        <w:pStyle w:val="3"/>
        <w:keepNext w:val="0"/>
        <w:spacing w:before="0" w:after="0" w:line="360" w:lineRule="auto"/>
        <w:rPr>
          <w:rFonts w:ascii="仿宋_GB2312" w:hAnsi="仿宋_GB2312" w:eastAsia="仿宋_GB2312" w:cs="仿宋_GB2312"/>
          <w:b/>
          <w:bCs/>
          <w:sz w:val="28"/>
          <w:szCs w:val="28"/>
        </w:rPr>
      </w:pPr>
      <w:bookmarkStart w:id="64" w:name="_Toc256000063"/>
      <w:r>
        <w:rPr>
          <w:rFonts w:ascii="仿宋_GB2312" w:hAnsi="仿宋_GB2312" w:eastAsia="仿宋_GB2312" w:cs="仿宋_GB2312"/>
          <w:i w:val="0"/>
          <w:iCs w:val="0"/>
        </w:rPr>
        <w:t>6.1总体要求</w:t>
      </w:r>
      <w:bookmarkEnd w:id="64"/>
    </w:p>
    <w:p>
      <w:pPr>
        <w:pStyle w:val="12"/>
        <w:spacing w:before="0" w:after="0" w:line="360" w:lineRule="auto"/>
        <w:ind w:left="0" w:right="0"/>
      </w:pPr>
      <w:r>
        <w:rPr>
          <w:rFonts w:ascii="方正仿宋_GB2312" w:hAnsi="方正仿宋_GB2312" w:eastAsia="方正仿宋_GB2312" w:cs="方正仿宋_GB2312"/>
          <w:sz w:val="28"/>
          <w:szCs w:val="28"/>
        </w:rPr>
        <w:t>    投标人必须具备丰富的项目风险管理经验和专业知识，能够有效识别、评估、应对和监控项目风险。本项目要求投标人提高风险认识，优化机制，完善网络安全防护措施，加强技术队伍管控，保障项目安全实施。</w:t>
      </w:r>
    </w:p>
    <w:p>
      <w:pPr>
        <w:pStyle w:val="3"/>
        <w:keepNext w:val="0"/>
        <w:spacing w:before="0" w:after="0" w:line="360" w:lineRule="auto"/>
        <w:rPr>
          <w:rFonts w:ascii="仿宋_GB2312" w:hAnsi="仿宋_GB2312" w:eastAsia="仿宋_GB2312" w:cs="仿宋_GB2312"/>
          <w:b/>
          <w:bCs/>
          <w:sz w:val="28"/>
          <w:szCs w:val="28"/>
        </w:rPr>
      </w:pPr>
      <w:bookmarkStart w:id="65" w:name="_Toc256000064"/>
      <w:r>
        <w:rPr>
          <w:rFonts w:ascii="仿宋_GB2312" w:hAnsi="仿宋_GB2312" w:eastAsia="仿宋_GB2312" w:cs="仿宋_GB2312"/>
          <w:i w:val="0"/>
          <w:iCs w:val="0"/>
        </w:rPr>
        <w:t>6.2项目风险识别与评估</w:t>
      </w:r>
      <w:bookmarkEnd w:id="65"/>
    </w:p>
    <w:p>
      <w:pPr>
        <w:pStyle w:val="15"/>
        <w:spacing w:before="0" w:after="0" w:line="360" w:lineRule="auto"/>
        <w:ind w:firstLine="560"/>
        <w:textAlignment w:val="baseline"/>
        <w:rPr>
          <w:rFonts w:ascii="Times New Roman" w:hAnsi="Times New Roman" w:eastAsia="Times New Roman" w:cs="Times New Roman"/>
        </w:rPr>
      </w:pPr>
      <w:r>
        <w:rPr>
          <w:rFonts w:ascii="方正仿宋_GB2312" w:hAnsi="方正仿宋_GB2312" w:eastAsia="方正仿宋_GB2312" w:cs="方正仿宋_GB2312"/>
          <w:sz w:val="28"/>
          <w:szCs w:val="28"/>
        </w:rPr>
        <w:t>本项目要求投标人应明确指出可能遇到的主要风险类型，包括但不限于技术风险、进度风险、质量风险、安全风险、法律风险等，其中，技术风险包含但不限于兼容性风险、操作风险等；进度风险包含但不限于任务变更、人员变更、工期变更等；质量风险包含但不限于设备及配套软件质量、实施质量等；安全风险包含但不限于实施人员人身伤害风险、网络安全、数据安全等；法律风险包含但不限于合规风险、知识产权风险、软硬件授权风险等。</w:t>
      </w:r>
    </w:p>
    <w:p>
      <w:pPr>
        <w:pStyle w:val="15"/>
        <w:spacing w:before="0" w:after="0" w:line="360" w:lineRule="auto"/>
        <w:ind w:firstLine="560"/>
        <w:textAlignment w:val="baseline"/>
        <w:rPr>
          <w:rFonts w:ascii="Times New Roman" w:hAnsi="Times New Roman" w:eastAsia="Times New Roman" w:cs="Times New Roman"/>
        </w:rPr>
      </w:pPr>
      <w:r>
        <w:rPr>
          <w:rFonts w:ascii="方正仿宋_GB2312" w:hAnsi="方正仿宋_GB2312" w:eastAsia="方正仿宋_GB2312" w:cs="方正仿宋_GB2312"/>
          <w:sz w:val="28"/>
          <w:szCs w:val="28"/>
        </w:rPr>
        <w:t>对识别出的风险进行评估，包括风险的影响程度、发生概率以及可能带来的后果。</w:t>
      </w:r>
    </w:p>
    <w:p>
      <w:pPr>
        <w:pStyle w:val="3"/>
        <w:keepNext w:val="0"/>
        <w:spacing w:before="0" w:after="0" w:line="360" w:lineRule="auto"/>
        <w:rPr>
          <w:rFonts w:ascii="仿宋_GB2312" w:hAnsi="仿宋_GB2312" w:eastAsia="仿宋_GB2312" w:cs="仿宋_GB2312"/>
          <w:b/>
          <w:bCs/>
          <w:sz w:val="28"/>
          <w:szCs w:val="28"/>
        </w:rPr>
      </w:pPr>
      <w:bookmarkStart w:id="66" w:name="_Toc256000065"/>
      <w:r>
        <w:rPr>
          <w:rFonts w:ascii="仿宋_GB2312" w:hAnsi="仿宋_GB2312" w:eastAsia="仿宋_GB2312" w:cs="仿宋_GB2312"/>
          <w:i w:val="0"/>
          <w:iCs w:val="0"/>
        </w:rPr>
        <w:t>6.3项目风险应对与处置</w:t>
      </w:r>
      <w:bookmarkEnd w:id="66"/>
    </w:p>
    <w:p>
      <w:pPr>
        <w:pStyle w:val="15"/>
        <w:spacing w:before="0" w:after="0" w:line="360" w:lineRule="auto"/>
        <w:ind w:firstLine="560"/>
        <w:textAlignment w:val="baseline"/>
        <w:rPr>
          <w:rFonts w:ascii="Times New Roman" w:hAnsi="Times New Roman" w:eastAsia="Times New Roman" w:cs="Times New Roman"/>
        </w:rPr>
      </w:pPr>
      <w:r>
        <w:rPr>
          <w:rFonts w:ascii="方正仿宋_GB2312" w:hAnsi="方正仿宋_GB2312" w:eastAsia="方正仿宋_GB2312" w:cs="方正仿宋_GB2312"/>
          <w:sz w:val="28"/>
          <w:szCs w:val="28"/>
        </w:rPr>
        <w:t>本项目要求投标人针对可能发生的各种风险，制定相应的应对措施和处置预案，以减轻风险对项目的影响；建立有效的信息沟通机制，确保采购人和投标人之间的信息畅通无阻，及时发现并解决问题。</w:t>
      </w:r>
    </w:p>
    <w:p>
      <w:pPr>
        <w:pStyle w:val="2"/>
        <w:keepNext w:val="0"/>
        <w:spacing w:before="0" w:after="0" w:line="360" w:lineRule="auto"/>
        <w:jc w:val="center"/>
        <w:rPr>
          <w:rFonts w:ascii="仿宋_GB2312" w:hAnsi="仿宋_GB2312" w:eastAsia="仿宋_GB2312" w:cs="仿宋_GB2312"/>
          <w:b/>
          <w:bCs/>
          <w:sz w:val="32"/>
          <w:szCs w:val="32"/>
        </w:rPr>
      </w:pPr>
      <w:bookmarkStart w:id="67" w:name="_Toc256000066"/>
      <w:r>
        <w:rPr>
          <w:rFonts w:ascii="仿宋_GB2312" w:hAnsi="仿宋_GB2312" w:eastAsia="仿宋_GB2312" w:cs="仿宋_GB2312"/>
          <w:kern w:val="36"/>
        </w:rPr>
        <w:t>7履约验收要求</w:t>
      </w:r>
      <w:bookmarkEnd w:id="67"/>
    </w:p>
    <w:p>
      <w:pPr>
        <w:pStyle w:val="3"/>
        <w:keepNext w:val="0"/>
        <w:spacing w:before="0" w:after="0" w:line="360" w:lineRule="auto"/>
        <w:rPr>
          <w:rFonts w:ascii="仿宋_GB2312" w:hAnsi="仿宋_GB2312" w:eastAsia="仿宋_GB2312" w:cs="仿宋_GB2312"/>
          <w:b/>
          <w:bCs/>
          <w:sz w:val="28"/>
          <w:szCs w:val="28"/>
        </w:rPr>
      </w:pPr>
      <w:bookmarkStart w:id="68" w:name="_Toc256000067"/>
      <w:r>
        <w:rPr>
          <w:rFonts w:ascii="仿宋_GB2312" w:hAnsi="仿宋_GB2312" w:eastAsia="仿宋_GB2312" w:cs="仿宋_GB2312"/>
          <w:i w:val="0"/>
          <w:iCs w:val="0"/>
        </w:rPr>
        <w:t>7.1总体要求</w:t>
      </w:r>
      <w:bookmarkEnd w:id="68"/>
    </w:p>
    <w:tbl>
      <w:tblPr>
        <w:tblStyle w:val="9"/>
        <w:tblW w:w="5000" w:type="pct"/>
        <w:tblInd w:w="30" w:type="dxa"/>
        <w:tblLayout w:type="autofit"/>
        <w:tblCellMar>
          <w:top w:w="15" w:type="dxa"/>
          <w:left w:w="15" w:type="dxa"/>
          <w:bottom w:w="15" w:type="dxa"/>
          <w:right w:w="15" w:type="dxa"/>
        </w:tblCellMar>
      </w:tblPr>
      <w:tblGrid>
        <w:gridCol w:w="4535"/>
        <w:gridCol w:w="4535"/>
      </w:tblGrid>
      <w:tr>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验收名称</w:t>
            </w:r>
          </w:p>
        </w:tc>
        <w:tc>
          <w:tcPr>
            <w:tcW w:w="25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验收要求</w:t>
            </w:r>
          </w:p>
        </w:tc>
      </w:tr>
      <w:tr>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到货验收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在合同硬件产品到达采购人指定的地点后，投标人保证所提供设备必须是原厂全新产品。投标人与采购人指定的接收人共同开箱验货，依合同要求对全部产品的型号、规格、数量、外形、包装及资料等进行到货验收。当出现损坏、数量不全或产品不符等问题时，由投标人负责解决。验收完成后，双方签订到货验收单。</w:t>
            </w:r>
          </w:p>
        </w:tc>
      </w:tr>
      <w:tr>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初步验收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投标人完成合同约定全部内容后，投标人可提出初步验收申请。采购人组织召开项目初步验收评审会议，根据项目验收相关要求，对投标人提交的项目过程文档及项目实施成果、质量进行验收评审。项目初步验收通过后，按采购人要求组织进行试运行，全面、准确验证项目实施的各项内容、质量、性能是否能达到要求。</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投标人需要按照采购人要求，提交相应文档，并保证文档质量。所有文档必须符合采购人文档管理规范。</w:t>
            </w:r>
          </w:p>
        </w:tc>
      </w:tr>
      <w:tr>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竣工验收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整体项目全部完工，且资料齐全、质量达标、试运行合格后，报项目立项审批单位开展项目竣工验收。</w:t>
            </w:r>
          </w:p>
        </w:tc>
      </w:tr>
    </w:tbl>
    <w:p>
      <w:pPr>
        <w:pStyle w:val="3"/>
        <w:keepNext w:val="0"/>
        <w:spacing w:before="0" w:after="0" w:line="360" w:lineRule="auto"/>
        <w:rPr>
          <w:rFonts w:ascii="仿宋_GB2312" w:hAnsi="仿宋_GB2312" w:eastAsia="仿宋_GB2312" w:cs="仿宋_GB2312"/>
          <w:b/>
          <w:bCs/>
          <w:sz w:val="28"/>
          <w:szCs w:val="28"/>
        </w:rPr>
      </w:pPr>
      <w:bookmarkStart w:id="69" w:name="_Toc256000068"/>
      <w:r>
        <w:rPr>
          <w:rFonts w:ascii="仿宋_GB2312" w:hAnsi="仿宋_GB2312" w:eastAsia="仿宋_GB2312" w:cs="仿宋_GB2312"/>
          <w:i w:val="0"/>
          <w:iCs w:val="0"/>
        </w:rPr>
        <w:t>7.2具体要求</w:t>
      </w:r>
      <w:bookmarkEnd w:id="69"/>
    </w:p>
    <w:p>
      <w:pPr>
        <w:pStyle w:val="13"/>
        <w:spacing w:before="0" w:after="0" w:line="360" w:lineRule="auto"/>
        <w:ind w:firstLine="560"/>
        <w:rPr>
          <w:rFonts w:ascii="Times New Roman" w:hAnsi="Times New Roman" w:eastAsia="Times New Roman" w:cs="Times New Roman"/>
        </w:rPr>
      </w:pPr>
      <w:r>
        <w:rPr>
          <w:rFonts w:ascii="方正仿宋_GB2312" w:hAnsi="方正仿宋_GB2312" w:eastAsia="方正仿宋_GB2312" w:cs="方正仿宋_GB2312"/>
          <w:sz w:val="28"/>
          <w:szCs w:val="28"/>
        </w:rPr>
        <w:t>投标人提供的交付物包括但不限于以下内容：</w:t>
      </w:r>
    </w:p>
    <w:tbl>
      <w:tblPr>
        <w:tblStyle w:val="19"/>
        <w:tblW w:w="7891" w:type="dxa"/>
        <w:jc w:val="center"/>
        <w:tblCellSpacing w:w="0" w:type="dxa"/>
        <w:tblLayout w:type="autofit"/>
        <w:tblCellMar>
          <w:top w:w="15" w:type="dxa"/>
          <w:left w:w="15" w:type="dxa"/>
          <w:bottom w:w="15" w:type="dxa"/>
          <w:right w:w="15" w:type="dxa"/>
        </w:tblCellMar>
      </w:tblPr>
      <w:tblGrid>
        <w:gridCol w:w="1174"/>
        <w:gridCol w:w="4253"/>
        <w:gridCol w:w="1536"/>
        <w:gridCol w:w="928"/>
      </w:tblGrid>
      <w:tr>
        <w:tblPrEx>
          <w:tblCellMar>
            <w:top w:w="15" w:type="dxa"/>
            <w:left w:w="15" w:type="dxa"/>
            <w:bottom w:w="15" w:type="dxa"/>
            <w:right w:w="15" w:type="dxa"/>
          </w:tblCellMar>
        </w:tblPrEx>
        <w:trPr>
          <w:tblCellSpacing w:w="0" w:type="dxa"/>
          <w:jc w:val="center"/>
        </w:trPr>
        <w:tc>
          <w:tcPr>
            <w:tcW w:w="1282" w:type="dxa"/>
            <w:tcBorders>
              <w:top w:val="single" w:color="000000" w:sz="8" w:space="0"/>
              <w:left w:val="single" w:color="000000" w:sz="8" w:space="0"/>
              <w:bottom w:val="single" w:color="000000" w:sz="8" w:space="0"/>
              <w:right w:val="single" w:color="000000" w:sz="8" w:space="0"/>
            </w:tcBorders>
            <w:noWrap w:val="0"/>
            <w:tcMar>
              <w:top w:w="0" w:type="dxa"/>
              <w:left w:w="118" w:type="dxa"/>
              <w:bottom w:w="0" w:type="dxa"/>
              <w:right w:w="118" w:type="dxa"/>
            </w:tcMar>
            <w:vAlign w:val="center"/>
          </w:tcPr>
          <w:p>
            <w:pPr>
              <w:pStyle w:val="15"/>
              <w:spacing w:after="0" w:line="300" w:lineRule="atLeast"/>
              <w:jc w:val="center"/>
              <w:rPr>
                <w:b w:val="0"/>
                <w:bCs w:val="0"/>
                <w:i w:val="0"/>
                <w:iCs w:val="0"/>
                <w:smallCaps w:val="0"/>
                <w:color w:val="000000"/>
                <w:sz w:val="20"/>
                <w:szCs w:val="20"/>
              </w:rPr>
            </w:pPr>
            <w:r>
              <w:rPr>
                <w:rFonts w:ascii="仿宋_GB2312" w:hAnsi="仿宋_GB2312" w:eastAsia="仿宋_GB2312" w:cs="仿宋_GB2312"/>
                <w:b/>
                <w:bCs/>
                <w:i w:val="0"/>
                <w:iCs w:val="0"/>
                <w:smallCaps w:val="0"/>
                <w:color w:val="000000"/>
              </w:rPr>
              <w:t>序号</w:t>
            </w:r>
          </w:p>
        </w:tc>
        <w:tc>
          <w:tcPr>
            <w:tcW w:w="4834" w:type="dxa"/>
            <w:tcBorders>
              <w:top w:val="single" w:color="000000" w:sz="8" w:space="0"/>
              <w:bottom w:val="single" w:color="000000" w:sz="8" w:space="0"/>
              <w:right w:val="single" w:color="000000" w:sz="8" w:space="0"/>
            </w:tcBorders>
            <w:noWrap w:val="0"/>
            <w:tcMar>
              <w:top w:w="0" w:type="dxa"/>
              <w:left w:w="108" w:type="dxa"/>
              <w:bottom w:w="0" w:type="dxa"/>
              <w:right w:w="118" w:type="dxa"/>
            </w:tcMar>
            <w:vAlign w:val="center"/>
          </w:tcPr>
          <w:p>
            <w:pPr>
              <w:pStyle w:val="15"/>
              <w:spacing w:after="0" w:line="300" w:lineRule="atLeast"/>
              <w:jc w:val="center"/>
              <w:rPr>
                <w:b w:val="0"/>
                <w:bCs w:val="0"/>
                <w:i w:val="0"/>
                <w:iCs w:val="0"/>
                <w:smallCaps w:val="0"/>
                <w:color w:val="000000"/>
                <w:sz w:val="20"/>
                <w:szCs w:val="20"/>
              </w:rPr>
            </w:pPr>
            <w:r>
              <w:rPr>
                <w:rFonts w:ascii="仿宋_GB2312" w:hAnsi="仿宋_GB2312" w:eastAsia="仿宋_GB2312" w:cs="仿宋_GB2312"/>
                <w:b/>
                <w:bCs/>
                <w:i w:val="0"/>
                <w:iCs w:val="0"/>
                <w:smallCaps w:val="0"/>
                <w:color w:val="000000"/>
              </w:rPr>
              <w:t>交付物名称</w:t>
            </w:r>
          </w:p>
        </w:tc>
        <w:tc>
          <w:tcPr>
            <w:tcW w:w="1709" w:type="dxa"/>
            <w:tcBorders>
              <w:top w:val="single" w:color="000000" w:sz="8" w:space="0"/>
              <w:bottom w:val="single" w:color="000000" w:sz="8" w:space="0"/>
              <w:right w:val="single" w:color="000000" w:sz="8" w:space="0"/>
            </w:tcBorders>
            <w:noWrap w:val="0"/>
            <w:tcMar>
              <w:top w:w="0" w:type="dxa"/>
              <w:left w:w="108" w:type="dxa"/>
              <w:bottom w:w="0" w:type="dxa"/>
              <w:right w:w="118" w:type="dxa"/>
            </w:tcMar>
            <w:vAlign w:val="center"/>
          </w:tcPr>
          <w:p>
            <w:pPr>
              <w:pStyle w:val="15"/>
              <w:spacing w:after="0" w:line="300" w:lineRule="atLeast"/>
              <w:jc w:val="center"/>
              <w:rPr>
                <w:b w:val="0"/>
                <w:bCs w:val="0"/>
                <w:i w:val="0"/>
                <w:iCs w:val="0"/>
                <w:smallCaps w:val="0"/>
                <w:color w:val="000000"/>
                <w:sz w:val="20"/>
                <w:szCs w:val="20"/>
              </w:rPr>
            </w:pPr>
            <w:r>
              <w:rPr>
                <w:rFonts w:ascii="仿宋_GB2312" w:hAnsi="仿宋_GB2312" w:eastAsia="仿宋_GB2312" w:cs="仿宋_GB2312"/>
                <w:b/>
                <w:bCs/>
                <w:i w:val="0"/>
                <w:iCs w:val="0"/>
                <w:smallCaps w:val="0"/>
                <w:color w:val="000000"/>
              </w:rPr>
              <w:t>形式</w:t>
            </w:r>
          </w:p>
        </w:tc>
        <w:tc>
          <w:tcPr>
            <w:tcW w:w="1000" w:type="dxa"/>
            <w:tcBorders>
              <w:top w:val="single" w:color="000000" w:sz="8" w:space="0"/>
              <w:bottom w:val="single" w:color="000000" w:sz="8" w:space="0"/>
              <w:right w:val="single" w:color="000000" w:sz="8" w:space="0"/>
            </w:tcBorders>
            <w:noWrap w:val="0"/>
            <w:tcMar>
              <w:top w:w="0" w:type="dxa"/>
              <w:left w:w="108" w:type="dxa"/>
              <w:bottom w:w="0" w:type="dxa"/>
              <w:right w:w="118" w:type="dxa"/>
            </w:tcMar>
            <w:vAlign w:val="center"/>
          </w:tcPr>
          <w:p>
            <w:pPr>
              <w:pStyle w:val="15"/>
              <w:spacing w:after="0" w:line="300" w:lineRule="atLeast"/>
              <w:jc w:val="center"/>
              <w:rPr>
                <w:b w:val="0"/>
                <w:bCs w:val="0"/>
                <w:i w:val="0"/>
                <w:iCs w:val="0"/>
                <w:smallCaps w:val="0"/>
                <w:color w:val="000000"/>
                <w:sz w:val="20"/>
                <w:szCs w:val="20"/>
              </w:rPr>
            </w:pPr>
            <w:r>
              <w:rPr>
                <w:rFonts w:ascii="仿宋_GB2312" w:hAnsi="仿宋_GB2312" w:eastAsia="仿宋_GB2312" w:cs="仿宋_GB2312"/>
                <w:b/>
                <w:bCs/>
                <w:i w:val="0"/>
                <w:iCs w:val="0"/>
                <w:smallCaps w:val="0"/>
                <w:color w:val="000000"/>
              </w:rPr>
              <w:t>备注</w:t>
            </w:r>
          </w:p>
        </w:tc>
      </w:tr>
      <w:tr>
        <w:tblPrEx>
          <w:tblCellMar>
            <w:top w:w="15" w:type="dxa"/>
            <w:left w:w="15" w:type="dxa"/>
            <w:bottom w:w="15" w:type="dxa"/>
            <w:right w:w="15" w:type="dxa"/>
          </w:tblCellMar>
        </w:tblPrEx>
        <w:trPr>
          <w:tblCellSpacing w:w="0" w:type="dxa"/>
          <w:jc w:val="center"/>
        </w:trPr>
        <w:tc>
          <w:tcPr>
            <w:tcW w:w="1282" w:type="dxa"/>
            <w:tcBorders>
              <w:left w:val="single" w:color="000000" w:sz="8" w:space="0"/>
              <w:bottom w:val="single" w:color="000000" w:sz="8" w:space="0"/>
              <w:right w:val="single" w:color="000000" w:sz="8" w:space="0"/>
            </w:tcBorders>
            <w:noWrap w:val="0"/>
            <w:tcMar>
              <w:top w:w="0" w:type="dxa"/>
              <w:left w:w="118" w:type="dxa"/>
              <w:bottom w:w="0" w:type="dxa"/>
              <w:right w:w="118" w:type="dxa"/>
            </w:tcMar>
            <w:vAlign w:val="center"/>
          </w:tcPr>
          <w:p>
            <w:pPr>
              <w:pStyle w:val="15"/>
              <w:spacing w:after="0" w:line="300" w:lineRule="atLeast"/>
              <w:jc w:val="center"/>
              <w:rPr>
                <w:b w:val="0"/>
                <w:bCs w:val="0"/>
                <w:i w:val="0"/>
                <w:iCs w:val="0"/>
                <w:smallCaps w:val="0"/>
                <w:color w:val="000000"/>
                <w:sz w:val="20"/>
                <w:szCs w:val="20"/>
              </w:rPr>
            </w:pPr>
            <w:r>
              <w:rPr>
                <w:rFonts w:ascii="仿宋_GB2312" w:hAnsi="仿宋_GB2312" w:eastAsia="仿宋_GB2312" w:cs="仿宋_GB2312"/>
                <w:b w:val="0"/>
                <w:bCs w:val="0"/>
                <w:i w:val="0"/>
                <w:iCs w:val="0"/>
                <w:smallCaps w:val="0"/>
                <w:color w:val="000000"/>
              </w:rPr>
              <w:t>1</w:t>
            </w:r>
          </w:p>
        </w:tc>
        <w:tc>
          <w:tcPr>
            <w:tcW w:w="4834" w:type="dxa"/>
            <w:tcBorders>
              <w:bottom w:val="single" w:color="000000" w:sz="8" w:space="0"/>
              <w:right w:val="single" w:color="000000" w:sz="8" w:space="0"/>
            </w:tcBorders>
            <w:noWrap w:val="0"/>
            <w:tcMar>
              <w:top w:w="0" w:type="dxa"/>
              <w:left w:w="108" w:type="dxa"/>
              <w:bottom w:w="0" w:type="dxa"/>
              <w:right w:w="118" w:type="dxa"/>
            </w:tcMar>
            <w:vAlign w:val="center"/>
          </w:tcPr>
          <w:p>
            <w:pPr>
              <w:pStyle w:val="15"/>
              <w:spacing w:after="0" w:line="300" w:lineRule="atLeast"/>
              <w:jc w:val="center"/>
              <w:rPr>
                <w:b w:val="0"/>
                <w:bCs w:val="0"/>
                <w:i w:val="0"/>
                <w:iCs w:val="0"/>
                <w:smallCaps w:val="0"/>
                <w:color w:val="000000"/>
                <w:sz w:val="20"/>
                <w:szCs w:val="20"/>
              </w:rPr>
            </w:pPr>
            <w:r>
              <w:rPr>
                <w:rFonts w:ascii="仿宋_GB2312" w:hAnsi="仿宋_GB2312" w:eastAsia="仿宋_GB2312" w:cs="仿宋_GB2312"/>
                <w:b w:val="0"/>
                <w:bCs w:val="0"/>
                <w:i w:val="0"/>
                <w:iCs w:val="0"/>
                <w:smallCaps w:val="0"/>
                <w:color w:val="000000"/>
              </w:rPr>
              <w:t>招、投标文档</w:t>
            </w:r>
          </w:p>
        </w:tc>
        <w:tc>
          <w:tcPr>
            <w:tcW w:w="1709" w:type="dxa"/>
            <w:tcBorders>
              <w:bottom w:val="single" w:color="000000" w:sz="8" w:space="0"/>
              <w:right w:val="single" w:color="000000" w:sz="8" w:space="0"/>
            </w:tcBorders>
            <w:noWrap w:val="0"/>
            <w:tcMar>
              <w:top w:w="0" w:type="dxa"/>
              <w:left w:w="108" w:type="dxa"/>
              <w:bottom w:w="0" w:type="dxa"/>
              <w:right w:w="118" w:type="dxa"/>
            </w:tcMar>
            <w:vAlign w:val="center"/>
          </w:tcPr>
          <w:p>
            <w:pPr>
              <w:pStyle w:val="15"/>
              <w:spacing w:after="0" w:line="300" w:lineRule="atLeast"/>
              <w:jc w:val="center"/>
              <w:rPr>
                <w:b w:val="0"/>
                <w:bCs w:val="0"/>
                <w:i w:val="0"/>
                <w:iCs w:val="0"/>
                <w:smallCaps w:val="0"/>
                <w:color w:val="000000"/>
                <w:sz w:val="20"/>
                <w:szCs w:val="20"/>
              </w:rPr>
            </w:pPr>
            <w:r>
              <w:rPr>
                <w:rFonts w:ascii="仿宋_GB2312" w:hAnsi="仿宋_GB2312" w:eastAsia="仿宋_GB2312" w:cs="仿宋_GB2312"/>
                <w:b w:val="0"/>
                <w:bCs w:val="0"/>
                <w:i w:val="0"/>
                <w:iCs w:val="0"/>
                <w:smallCaps w:val="0"/>
                <w:color w:val="000000"/>
              </w:rPr>
              <w:t>电子/纸质</w:t>
            </w:r>
          </w:p>
        </w:tc>
        <w:tc>
          <w:tcPr>
            <w:tcW w:w="1000" w:type="dxa"/>
            <w:tcBorders>
              <w:bottom w:val="single" w:color="000000" w:sz="8" w:space="0"/>
              <w:right w:val="single" w:color="000000" w:sz="8" w:space="0"/>
            </w:tcBorders>
            <w:noWrap w:val="0"/>
            <w:tcMar>
              <w:top w:w="0" w:type="dxa"/>
              <w:left w:w="108" w:type="dxa"/>
              <w:bottom w:w="0" w:type="dxa"/>
              <w:right w:w="118" w:type="dxa"/>
            </w:tcMar>
            <w:vAlign w:val="center"/>
          </w:tcPr>
          <w:p>
            <w:pPr>
              <w:pStyle w:val="15"/>
              <w:spacing w:after="0" w:line="300" w:lineRule="atLeast"/>
              <w:jc w:val="center"/>
              <w:rPr>
                <w:b w:val="0"/>
                <w:bCs w:val="0"/>
                <w:i w:val="0"/>
                <w:iCs w:val="0"/>
                <w:smallCaps w:val="0"/>
                <w:color w:val="000000"/>
                <w:sz w:val="20"/>
                <w:szCs w:val="20"/>
              </w:rPr>
            </w:pPr>
            <w:r>
              <w:rPr>
                <w:rFonts w:ascii="仿宋_GB2312" w:hAnsi="仿宋_GB2312" w:eastAsia="仿宋_GB2312" w:cs="仿宋_GB2312"/>
                <w:b w:val="0"/>
                <w:bCs w:val="0"/>
                <w:i w:val="0"/>
                <w:iCs w:val="0"/>
                <w:smallCaps w:val="0"/>
                <w:color w:val="000000"/>
              </w:rPr>
              <w:t> </w:t>
            </w:r>
          </w:p>
        </w:tc>
      </w:tr>
      <w:tr>
        <w:tblPrEx>
          <w:tblCellMar>
            <w:top w:w="15" w:type="dxa"/>
            <w:left w:w="15" w:type="dxa"/>
            <w:bottom w:w="15" w:type="dxa"/>
            <w:right w:w="15" w:type="dxa"/>
          </w:tblCellMar>
        </w:tblPrEx>
        <w:trPr>
          <w:tblCellSpacing w:w="0" w:type="dxa"/>
          <w:jc w:val="center"/>
        </w:trPr>
        <w:tc>
          <w:tcPr>
            <w:tcW w:w="1282" w:type="dxa"/>
            <w:tcBorders>
              <w:left w:val="single" w:color="000000" w:sz="8" w:space="0"/>
              <w:bottom w:val="single" w:color="000000" w:sz="8" w:space="0"/>
              <w:right w:val="single" w:color="000000" w:sz="8" w:space="0"/>
            </w:tcBorders>
            <w:noWrap w:val="0"/>
            <w:tcMar>
              <w:top w:w="0" w:type="dxa"/>
              <w:left w:w="118" w:type="dxa"/>
              <w:bottom w:w="0" w:type="dxa"/>
              <w:right w:w="118" w:type="dxa"/>
            </w:tcMar>
            <w:vAlign w:val="center"/>
          </w:tcPr>
          <w:p>
            <w:pPr>
              <w:pStyle w:val="15"/>
              <w:spacing w:after="0" w:line="300" w:lineRule="atLeast"/>
              <w:jc w:val="center"/>
              <w:rPr>
                <w:b w:val="0"/>
                <w:bCs w:val="0"/>
                <w:i w:val="0"/>
                <w:iCs w:val="0"/>
                <w:smallCaps w:val="0"/>
                <w:color w:val="000000"/>
                <w:sz w:val="20"/>
                <w:szCs w:val="20"/>
              </w:rPr>
            </w:pPr>
            <w:r>
              <w:rPr>
                <w:rFonts w:ascii="仿宋_GB2312" w:hAnsi="仿宋_GB2312" w:eastAsia="仿宋_GB2312" w:cs="仿宋_GB2312"/>
                <w:b w:val="0"/>
                <w:bCs w:val="0"/>
                <w:i w:val="0"/>
                <w:iCs w:val="0"/>
                <w:smallCaps w:val="0"/>
                <w:color w:val="000000"/>
              </w:rPr>
              <w:t>2</w:t>
            </w:r>
          </w:p>
        </w:tc>
        <w:tc>
          <w:tcPr>
            <w:tcW w:w="4834" w:type="dxa"/>
            <w:tcBorders>
              <w:bottom w:val="single" w:color="000000" w:sz="8" w:space="0"/>
              <w:right w:val="single" w:color="000000" w:sz="8" w:space="0"/>
            </w:tcBorders>
            <w:noWrap w:val="0"/>
            <w:tcMar>
              <w:top w:w="0" w:type="dxa"/>
              <w:left w:w="108" w:type="dxa"/>
              <w:bottom w:w="0" w:type="dxa"/>
              <w:right w:w="118" w:type="dxa"/>
            </w:tcMar>
            <w:vAlign w:val="center"/>
          </w:tcPr>
          <w:p>
            <w:pPr>
              <w:pStyle w:val="18"/>
              <w:jc w:val="center"/>
              <w:textAlignment w:val="center"/>
              <w:rPr>
                <w:b w:val="0"/>
                <w:bCs w:val="0"/>
                <w:i w:val="0"/>
                <w:iCs w:val="0"/>
                <w:smallCaps w:val="0"/>
                <w:color w:val="000000"/>
                <w:sz w:val="20"/>
                <w:szCs w:val="20"/>
              </w:rPr>
            </w:pPr>
            <w:r>
              <w:rPr>
                <w:rFonts w:ascii="仿宋_GB2312" w:hAnsi="仿宋_GB2312" w:eastAsia="仿宋_GB2312" w:cs="仿宋_GB2312"/>
                <w:b w:val="0"/>
                <w:bCs w:val="0"/>
                <w:i w:val="0"/>
                <w:iCs w:val="0"/>
                <w:smallCaps w:val="0"/>
                <w:color w:val="000000"/>
              </w:rPr>
              <w:t>项目合同</w:t>
            </w:r>
          </w:p>
        </w:tc>
        <w:tc>
          <w:tcPr>
            <w:tcW w:w="1709" w:type="dxa"/>
            <w:tcBorders>
              <w:bottom w:val="single" w:color="000000" w:sz="8" w:space="0"/>
              <w:right w:val="single" w:color="000000" w:sz="8" w:space="0"/>
            </w:tcBorders>
            <w:noWrap w:val="0"/>
            <w:tcMar>
              <w:top w:w="0" w:type="dxa"/>
              <w:left w:w="108" w:type="dxa"/>
              <w:bottom w:w="0" w:type="dxa"/>
              <w:right w:w="118" w:type="dxa"/>
            </w:tcMar>
            <w:vAlign w:val="center"/>
          </w:tcPr>
          <w:p>
            <w:pPr>
              <w:pStyle w:val="15"/>
              <w:spacing w:after="0" w:line="300" w:lineRule="atLeast"/>
              <w:jc w:val="center"/>
              <w:rPr>
                <w:b w:val="0"/>
                <w:bCs w:val="0"/>
                <w:i w:val="0"/>
                <w:iCs w:val="0"/>
                <w:smallCaps w:val="0"/>
                <w:color w:val="000000"/>
                <w:sz w:val="20"/>
                <w:szCs w:val="20"/>
              </w:rPr>
            </w:pPr>
            <w:r>
              <w:rPr>
                <w:rFonts w:ascii="仿宋_GB2312" w:hAnsi="仿宋_GB2312" w:eastAsia="仿宋_GB2312" w:cs="仿宋_GB2312"/>
                <w:b w:val="0"/>
                <w:bCs w:val="0"/>
                <w:i w:val="0"/>
                <w:iCs w:val="0"/>
                <w:smallCaps w:val="0"/>
                <w:color w:val="000000"/>
              </w:rPr>
              <w:t>电子/纸质</w:t>
            </w:r>
          </w:p>
        </w:tc>
        <w:tc>
          <w:tcPr>
            <w:tcW w:w="1000" w:type="dxa"/>
            <w:tcBorders>
              <w:bottom w:val="single" w:color="000000" w:sz="8" w:space="0"/>
              <w:right w:val="single" w:color="000000" w:sz="8" w:space="0"/>
            </w:tcBorders>
            <w:noWrap w:val="0"/>
            <w:tcMar>
              <w:top w:w="0" w:type="dxa"/>
              <w:left w:w="108" w:type="dxa"/>
              <w:bottom w:w="0" w:type="dxa"/>
              <w:right w:w="118" w:type="dxa"/>
            </w:tcMar>
            <w:vAlign w:val="center"/>
          </w:tcPr>
          <w:p>
            <w:pPr>
              <w:pStyle w:val="15"/>
              <w:spacing w:after="0" w:line="300" w:lineRule="atLeast"/>
              <w:jc w:val="center"/>
              <w:rPr>
                <w:b w:val="0"/>
                <w:bCs w:val="0"/>
                <w:i w:val="0"/>
                <w:iCs w:val="0"/>
                <w:smallCaps w:val="0"/>
                <w:color w:val="000000"/>
                <w:sz w:val="20"/>
                <w:szCs w:val="20"/>
              </w:rPr>
            </w:pPr>
            <w:r>
              <w:rPr>
                <w:rFonts w:ascii="仿宋_GB2312" w:hAnsi="仿宋_GB2312" w:eastAsia="仿宋_GB2312" w:cs="仿宋_GB2312"/>
                <w:b w:val="0"/>
                <w:bCs w:val="0"/>
                <w:i w:val="0"/>
                <w:iCs w:val="0"/>
                <w:smallCaps w:val="0"/>
                <w:color w:val="000000"/>
              </w:rPr>
              <w:t> </w:t>
            </w:r>
          </w:p>
        </w:tc>
      </w:tr>
      <w:tr>
        <w:trPr>
          <w:tblCellSpacing w:w="0" w:type="dxa"/>
          <w:jc w:val="center"/>
        </w:trPr>
        <w:tc>
          <w:tcPr>
            <w:tcW w:w="1282" w:type="dxa"/>
            <w:tcBorders>
              <w:left w:val="single" w:color="000000" w:sz="8" w:space="0"/>
              <w:bottom w:val="single" w:color="000000" w:sz="8" w:space="0"/>
              <w:right w:val="single" w:color="000000" w:sz="8" w:space="0"/>
            </w:tcBorders>
            <w:noWrap w:val="0"/>
            <w:tcMar>
              <w:top w:w="0" w:type="dxa"/>
              <w:left w:w="118" w:type="dxa"/>
              <w:bottom w:w="0" w:type="dxa"/>
              <w:right w:w="118" w:type="dxa"/>
            </w:tcMar>
            <w:vAlign w:val="center"/>
          </w:tcPr>
          <w:p>
            <w:pPr>
              <w:pStyle w:val="15"/>
              <w:spacing w:after="0" w:line="300" w:lineRule="atLeast"/>
              <w:jc w:val="center"/>
              <w:rPr>
                <w:b w:val="0"/>
                <w:bCs w:val="0"/>
                <w:i w:val="0"/>
                <w:iCs w:val="0"/>
                <w:smallCaps w:val="0"/>
                <w:color w:val="000000"/>
                <w:sz w:val="20"/>
                <w:szCs w:val="20"/>
              </w:rPr>
            </w:pPr>
            <w:r>
              <w:rPr>
                <w:rFonts w:ascii="仿宋_GB2312" w:hAnsi="仿宋_GB2312" w:eastAsia="仿宋_GB2312" w:cs="仿宋_GB2312"/>
                <w:b w:val="0"/>
                <w:bCs w:val="0"/>
                <w:i w:val="0"/>
                <w:iCs w:val="0"/>
                <w:smallCaps w:val="0"/>
                <w:color w:val="000000"/>
              </w:rPr>
              <w:t>3</w:t>
            </w:r>
          </w:p>
        </w:tc>
        <w:tc>
          <w:tcPr>
            <w:tcW w:w="4834" w:type="dxa"/>
            <w:tcBorders>
              <w:bottom w:val="single" w:color="000000" w:sz="8" w:space="0"/>
              <w:right w:val="single" w:color="000000" w:sz="8" w:space="0"/>
            </w:tcBorders>
            <w:noWrap w:val="0"/>
            <w:tcMar>
              <w:top w:w="0" w:type="dxa"/>
              <w:left w:w="108" w:type="dxa"/>
              <w:bottom w:w="0" w:type="dxa"/>
              <w:right w:w="118" w:type="dxa"/>
            </w:tcMar>
            <w:vAlign w:val="center"/>
          </w:tcPr>
          <w:p>
            <w:pPr>
              <w:pStyle w:val="18"/>
              <w:jc w:val="center"/>
              <w:textAlignment w:val="center"/>
              <w:rPr>
                <w:b w:val="0"/>
                <w:bCs w:val="0"/>
                <w:i w:val="0"/>
                <w:iCs w:val="0"/>
                <w:smallCaps w:val="0"/>
                <w:color w:val="000000"/>
                <w:sz w:val="20"/>
                <w:szCs w:val="20"/>
              </w:rPr>
            </w:pPr>
            <w:r>
              <w:rPr>
                <w:rFonts w:ascii="仿宋_GB2312" w:hAnsi="仿宋_GB2312" w:eastAsia="仿宋_GB2312" w:cs="仿宋_GB2312"/>
                <w:b w:val="0"/>
                <w:bCs w:val="0"/>
                <w:i w:val="0"/>
                <w:iCs w:val="0"/>
                <w:smallCaps w:val="0"/>
                <w:color w:val="000000"/>
              </w:rPr>
              <w:t>项目投入人员明细</w:t>
            </w:r>
          </w:p>
        </w:tc>
        <w:tc>
          <w:tcPr>
            <w:tcW w:w="1709" w:type="dxa"/>
            <w:tcBorders>
              <w:bottom w:val="single" w:color="000000" w:sz="8" w:space="0"/>
              <w:right w:val="single" w:color="000000" w:sz="8" w:space="0"/>
            </w:tcBorders>
            <w:noWrap w:val="0"/>
            <w:tcMar>
              <w:top w:w="0" w:type="dxa"/>
              <w:left w:w="108" w:type="dxa"/>
              <w:bottom w:w="0" w:type="dxa"/>
              <w:right w:w="118" w:type="dxa"/>
            </w:tcMar>
            <w:vAlign w:val="center"/>
          </w:tcPr>
          <w:p>
            <w:pPr>
              <w:pStyle w:val="15"/>
              <w:spacing w:after="0" w:line="300" w:lineRule="atLeast"/>
              <w:jc w:val="center"/>
              <w:rPr>
                <w:b w:val="0"/>
                <w:bCs w:val="0"/>
                <w:i w:val="0"/>
                <w:iCs w:val="0"/>
                <w:smallCaps w:val="0"/>
                <w:color w:val="000000"/>
                <w:sz w:val="20"/>
                <w:szCs w:val="20"/>
              </w:rPr>
            </w:pPr>
            <w:r>
              <w:rPr>
                <w:rFonts w:ascii="仿宋_GB2312" w:hAnsi="仿宋_GB2312" w:eastAsia="仿宋_GB2312" w:cs="仿宋_GB2312"/>
                <w:b w:val="0"/>
                <w:bCs w:val="0"/>
                <w:i w:val="0"/>
                <w:iCs w:val="0"/>
                <w:smallCaps w:val="0"/>
                <w:color w:val="000000"/>
              </w:rPr>
              <w:t>电子/纸质</w:t>
            </w:r>
          </w:p>
        </w:tc>
        <w:tc>
          <w:tcPr>
            <w:tcW w:w="1000" w:type="dxa"/>
            <w:tcBorders>
              <w:bottom w:val="single" w:color="000000" w:sz="8" w:space="0"/>
              <w:right w:val="single" w:color="000000" w:sz="8" w:space="0"/>
            </w:tcBorders>
            <w:noWrap w:val="0"/>
            <w:tcMar>
              <w:top w:w="0" w:type="dxa"/>
              <w:left w:w="108" w:type="dxa"/>
              <w:bottom w:w="0" w:type="dxa"/>
              <w:right w:w="118" w:type="dxa"/>
            </w:tcMar>
            <w:vAlign w:val="center"/>
          </w:tcPr>
          <w:p>
            <w:pPr>
              <w:pStyle w:val="15"/>
              <w:spacing w:after="0" w:line="300" w:lineRule="atLeast"/>
              <w:jc w:val="center"/>
              <w:rPr>
                <w:b w:val="0"/>
                <w:bCs w:val="0"/>
                <w:i w:val="0"/>
                <w:iCs w:val="0"/>
                <w:smallCaps w:val="0"/>
                <w:color w:val="000000"/>
                <w:sz w:val="20"/>
                <w:szCs w:val="20"/>
              </w:rPr>
            </w:pPr>
            <w:r>
              <w:rPr>
                <w:rFonts w:ascii="仿宋_GB2312" w:hAnsi="仿宋_GB2312" w:eastAsia="仿宋_GB2312" w:cs="仿宋_GB2312"/>
                <w:b w:val="0"/>
                <w:bCs w:val="0"/>
                <w:i w:val="0"/>
                <w:iCs w:val="0"/>
                <w:smallCaps w:val="0"/>
                <w:color w:val="000000"/>
              </w:rPr>
              <w:t> </w:t>
            </w:r>
          </w:p>
        </w:tc>
      </w:tr>
      <w:tr>
        <w:tblPrEx>
          <w:tblCellMar>
            <w:top w:w="15" w:type="dxa"/>
            <w:left w:w="15" w:type="dxa"/>
            <w:bottom w:w="15" w:type="dxa"/>
            <w:right w:w="15" w:type="dxa"/>
          </w:tblCellMar>
        </w:tblPrEx>
        <w:trPr>
          <w:tblCellSpacing w:w="0" w:type="dxa"/>
          <w:jc w:val="center"/>
        </w:trPr>
        <w:tc>
          <w:tcPr>
            <w:tcW w:w="1282" w:type="dxa"/>
            <w:tcBorders>
              <w:left w:val="single" w:color="000000" w:sz="8" w:space="0"/>
              <w:bottom w:val="single" w:color="000000" w:sz="8" w:space="0"/>
              <w:right w:val="single" w:color="000000" w:sz="8" w:space="0"/>
            </w:tcBorders>
            <w:noWrap w:val="0"/>
            <w:tcMar>
              <w:top w:w="0" w:type="dxa"/>
              <w:left w:w="118" w:type="dxa"/>
              <w:bottom w:w="0" w:type="dxa"/>
              <w:right w:w="118" w:type="dxa"/>
            </w:tcMar>
            <w:vAlign w:val="center"/>
          </w:tcPr>
          <w:p>
            <w:pPr>
              <w:pStyle w:val="15"/>
              <w:spacing w:after="0" w:line="300" w:lineRule="atLeast"/>
              <w:jc w:val="center"/>
              <w:rPr>
                <w:b w:val="0"/>
                <w:bCs w:val="0"/>
                <w:i w:val="0"/>
                <w:iCs w:val="0"/>
                <w:smallCaps w:val="0"/>
                <w:color w:val="000000"/>
                <w:sz w:val="20"/>
                <w:szCs w:val="20"/>
              </w:rPr>
            </w:pPr>
            <w:r>
              <w:rPr>
                <w:rFonts w:ascii="仿宋_GB2312" w:hAnsi="仿宋_GB2312" w:eastAsia="仿宋_GB2312" w:cs="仿宋_GB2312"/>
                <w:b w:val="0"/>
                <w:bCs w:val="0"/>
                <w:i w:val="0"/>
                <w:iCs w:val="0"/>
                <w:smallCaps w:val="0"/>
                <w:color w:val="000000"/>
              </w:rPr>
              <w:t>4</w:t>
            </w:r>
          </w:p>
        </w:tc>
        <w:tc>
          <w:tcPr>
            <w:tcW w:w="4834" w:type="dxa"/>
            <w:tcBorders>
              <w:bottom w:val="single" w:color="000000" w:sz="8" w:space="0"/>
              <w:right w:val="single" w:color="000000" w:sz="8" w:space="0"/>
            </w:tcBorders>
            <w:noWrap w:val="0"/>
            <w:tcMar>
              <w:top w:w="0" w:type="dxa"/>
              <w:left w:w="108" w:type="dxa"/>
              <w:bottom w:w="0" w:type="dxa"/>
              <w:right w:w="118" w:type="dxa"/>
            </w:tcMar>
            <w:vAlign w:val="center"/>
          </w:tcPr>
          <w:p>
            <w:pPr>
              <w:pStyle w:val="15"/>
              <w:spacing w:after="0" w:line="300" w:lineRule="atLeast"/>
              <w:jc w:val="center"/>
              <w:rPr>
                <w:b w:val="0"/>
                <w:bCs w:val="0"/>
                <w:i w:val="0"/>
                <w:iCs w:val="0"/>
                <w:smallCaps w:val="0"/>
                <w:color w:val="000000"/>
                <w:sz w:val="20"/>
                <w:szCs w:val="20"/>
              </w:rPr>
            </w:pPr>
            <w:r>
              <w:rPr>
                <w:rFonts w:ascii="仿宋_GB2312" w:hAnsi="仿宋_GB2312" w:eastAsia="仿宋_GB2312" w:cs="仿宋_GB2312"/>
                <w:b w:val="0"/>
                <w:bCs w:val="0"/>
                <w:i w:val="0"/>
                <w:iCs w:val="0"/>
                <w:smallCaps w:val="0"/>
                <w:color w:val="000000"/>
              </w:rPr>
              <w:t>项目管理实施方案</w:t>
            </w:r>
          </w:p>
        </w:tc>
        <w:tc>
          <w:tcPr>
            <w:tcW w:w="1709" w:type="dxa"/>
            <w:tcBorders>
              <w:bottom w:val="single" w:color="000000" w:sz="8" w:space="0"/>
              <w:right w:val="single" w:color="000000" w:sz="8" w:space="0"/>
            </w:tcBorders>
            <w:noWrap w:val="0"/>
            <w:tcMar>
              <w:top w:w="0" w:type="dxa"/>
              <w:left w:w="108" w:type="dxa"/>
              <w:bottom w:w="0" w:type="dxa"/>
              <w:right w:w="118" w:type="dxa"/>
            </w:tcMar>
            <w:vAlign w:val="center"/>
          </w:tcPr>
          <w:p>
            <w:pPr>
              <w:pStyle w:val="15"/>
              <w:spacing w:after="0" w:line="300" w:lineRule="atLeast"/>
              <w:jc w:val="center"/>
              <w:rPr>
                <w:b w:val="0"/>
                <w:bCs w:val="0"/>
                <w:i w:val="0"/>
                <w:iCs w:val="0"/>
                <w:smallCaps w:val="0"/>
                <w:color w:val="000000"/>
                <w:sz w:val="20"/>
                <w:szCs w:val="20"/>
              </w:rPr>
            </w:pPr>
            <w:r>
              <w:rPr>
                <w:rFonts w:ascii="仿宋_GB2312" w:hAnsi="仿宋_GB2312" w:eastAsia="仿宋_GB2312" w:cs="仿宋_GB2312"/>
                <w:b w:val="0"/>
                <w:bCs w:val="0"/>
                <w:i w:val="0"/>
                <w:iCs w:val="0"/>
                <w:smallCaps w:val="0"/>
                <w:color w:val="000000"/>
              </w:rPr>
              <w:t>电子/纸质</w:t>
            </w:r>
          </w:p>
        </w:tc>
        <w:tc>
          <w:tcPr>
            <w:tcW w:w="1000" w:type="dxa"/>
            <w:tcBorders>
              <w:bottom w:val="single" w:color="000000" w:sz="8" w:space="0"/>
              <w:right w:val="single" w:color="000000" w:sz="8" w:space="0"/>
            </w:tcBorders>
            <w:noWrap w:val="0"/>
            <w:tcMar>
              <w:top w:w="0" w:type="dxa"/>
              <w:left w:w="108" w:type="dxa"/>
              <w:bottom w:w="0" w:type="dxa"/>
              <w:right w:w="118" w:type="dxa"/>
            </w:tcMar>
            <w:vAlign w:val="center"/>
          </w:tcPr>
          <w:p>
            <w:pPr>
              <w:pStyle w:val="15"/>
              <w:spacing w:after="0" w:line="300" w:lineRule="atLeast"/>
              <w:jc w:val="center"/>
              <w:rPr>
                <w:b w:val="0"/>
                <w:bCs w:val="0"/>
                <w:i w:val="0"/>
                <w:iCs w:val="0"/>
                <w:smallCaps w:val="0"/>
                <w:color w:val="000000"/>
                <w:sz w:val="20"/>
                <w:szCs w:val="20"/>
              </w:rPr>
            </w:pPr>
            <w:r>
              <w:rPr>
                <w:rFonts w:ascii="仿宋_GB2312" w:hAnsi="仿宋_GB2312" w:eastAsia="仿宋_GB2312" w:cs="仿宋_GB2312"/>
                <w:b w:val="0"/>
                <w:bCs w:val="0"/>
                <w:i w:val="0"/>
                <w:iCs w:val="0"/>
                <w:smallCaps w:val="0"/>
                <w:color w:val="000000"/>
              </w:rPr>
              <w:t> </w:t>
            </w:r>
          </w:p>
        </w:tc>
      </w:tr>
      <w:tr>
        <w:tblPrEx>
          <w:tblCellMar>
            <w:top w:w="15" w:type="dxa"/>
            <w:left w:w="15" w:type="dxa"/>
            <w:bottom w:w="15" w:type="dxa"/>
            <w:right w:w="15" w:type="dxa"/>
          </w:tblCellMar>
        </w:tblPrEx>
        <w:trPr>
          <w:tblCellSpacing w:w="0" w:type="dxa"/>
          <w:jc w:val="center"/>
        </w:trPr>
        <w:tc>
          <w:tcPr>
            <w:tcW w:w="1282" w:type="dxa"/>
            <w:tcBorders>
              <w:left w:val="single" w:color="000000" w:sz="8" w:space="0"/>
              <w:bottom w:val="single" w:color="000000" w:sz="8" w:space="0"/>
              <w:right w:val="single" w:color="000000" w:sz="8" w:space="0"/>
            </w:tcBorders>
            <w:noWrap w:val="0"/>
            <w:tcMar>
              <w:top w:w="0" w:type="dxa"/>
              <w:left w:w="118" w:type="dxa"/>
              <w:bottom w:w="0" w:type="dxa"/>
              <w:right w:w="118" w:type="dxa"/>
            </w:tcMar>
            <w:vAlign w:val="center"/>
          </w:tcPr>
          <w:p>
            <w:pPr>
              <w:pStyle w:val="15"/>
              <w:spacing w:after="0" w:line="300" w:lineRule="atLeast"/>
              <w:jc w:val="center"/>
              <w:rPr>
                <w:b w:val="0"/>
                <w:bCs w:val="0"/>
                <w:i w:val="0"/>
                <w:iCs w:val="0"/>
                <w:smallCaps w:val="0"/>
                <w:color w:val="000000"/>
                <w:sz w:val="20"/>
                <w:szCs w:val="20"/>
              </w:rPr>
            </w:pPr>
            <w:r>
              <w:rPr>
                <w:rFonts w:ascii="仿宋_GB2312" w:hAnsi="仿宋_GB2312" w:eastAsia="仿宋_GB2312" w:cs="仿宋_GB2312"/>
                <w:b w:val="0"/>
                <w:bCs w:val="0"/>
                <w:i w:val="0"/>
                <w:iCs w:val="0"/>
                <w:smallCaps w:val="0"/>
                <w:color w:val="000000"/>
              </w:rPr>
              <w:t>5</w:t>
            </w:r>
          </w:p>
        </w:tc>
        <w:tc>
          <w:tcPr>
            <w:tcW w:w="4834" w:type="dxa"/>
            <w:tcBorders>
              <w:bottom w:val="single" w:color="000000" w:sz="8" w:space="0"/>
              <w:right w:val="single" w:color="000000" w:sz="8" w:space="0"/>
            </w:tcBorders>
            <w:noWrap w:val="0"/>
            <w:tcMar>
              <w:top w:w="0" w:type="dxa"/>
              <w:left w:w="108" w:type="dxa"/>
              <w:bottom w:w="0" w:type="dxa"/>
              <w:right w:w="118" w:type="dxa"/>
            </w:tcMar>
            <w:vAlign w:val="center"/>
          </w:tcPr>
          <w:p>
            <w:pPr>
              <w:pStyle w:val="15"/>
              <w:spacing w:after="0" w:line="300" w:lineRule="atLeast"/>
              <w:jc w:val="center"/>
              <w:rPr>
                <w:b w:val="0"/>
                <w:bCs w:val="0"/>
                <w:i w:val="0"/>
                <w:iCs w:val="0"/>
                <w:smallCaps w:val="0"/>
                <w:color w:val="000000"/>
                <w:sz w:val="20"/>
                <w:szCs w:val="20"/>
              </w:rPr>
            </w:pPr>
            <w:r>
              <w:rPr>
                <w:rFonts w:ascii="仿宋_GB2312" w:hAnsi="仿宋_GB2312" w:eastAsia="仿宋_GB2312" w:cs="仿宋_GB2312"/>
                <w:b w:val="0"/>
                <w:bCs w:val="0"/>
                <w:i w:val="0"/>
                <w:iCs w:val="0"/>
                <w:smallCaps w:val="0"/>
                <w:color w:val="000000"/>
              </w:rPr>
              <w:t>硬件设备到货验收单</w:t>
            </w:r>
          </w:p>
        </w:tc>
        <w:tc>
          <w:tcPr>
            <w:tcW w:w="1709" w:type="dxa"/>
            <w:tcBorders>
              <w:bottom w:val="single" w:color="000000" w:sz="8" w:space="0"/>
              <w:right w:val="single" w:color="000000" w:sz="8" w:space="0"/>
            </w:tcBorders>
            <w:noWrap w:val="0"/>
            <w:tcMar>
              <w:top w:w="0" w:type="dxa"/>
              <w:left w:w="108" w:type="dxa"/>
              <w:bottom w:w="0" w:type="dxa"/>
              <w:right w:w="118" w:type="dxa"/>
            </w:tcMar>
            <w:vAlign w:val="center"/>
          </w:tcPr>
          <w:p>
            <w:pPr>
              <w:pStyle w:val="15"/>
              <w:spacing w:after="0" w:line="300" w:lineRule="atLeast"/>
              <w:jc w:val="center"/>
              <w:rPr>
                <w:b w:val="0"/>
                <w:bCs w:val="0"/>
                <w:i w:val="0"/>
                <w:iCs w:val="0"/>
                <w:smallCaps w:val="0"/>
                <w:color w:val="000000"/>
                <w:sz w:val="20"/>
                <w:szCs w:val="20"/>
              </w:rPr>
            </w:pPr>
            <w:r>
              <w:rPr>
                <w:rFonts w:ascii="仿宋_GB2312" w:hAnsi="仿宋_GB2312" w:eastAsia="仿宋_GB2312" w:cs="仿宋_GB2312"/>
                <w:b w:val="0"/>
                <w:bCs w:val="0"/>
                <w:i w:val="0"/>
                <w:iCs w:val="0"/>
                <w:smallCaps w:val="0"/>
                <w:color w:val="000000"/>
              </w:rPr>
              <w:t>电子/纸质</w:t>
            </w:r>
          </w:p>
        </w:tc>
        <w:tc>
          <w:tcPr>
            <w:tcW w:w="1000" w:type="dxa"/>
            <w:tcBorders>
              <w:bottom w:val="single" w:color="000000" w:sz="8" w:space="0"/>
              <w:right w:val="single" w:color="000000" w:sz="8" w:space="0"/>
            </w:tcBorders>
            <w:noWrap w:val="0"/>
            <w:tcMar>
              <w:top w:w="0" w:type="dxa"/>
              <w:left w:w="108" w:type="dxa"/>
              <w:bottom w:w="0" w:type="dxa"/>
              <w:right w:w="118" w:type="dxa"/>
            </w:tcMar>
            <w:vAlign w:val="center"/>
          </w:tcPr>
          <w:p>
            <w:pPr>
              <w:pStyle w:val="15"/>
              <w:spacing w:after="0" w:line="300" w:lineRule="atLeast"/>
              <w:jc w:val="center"/>
              <w:rPr>
                <w:b w:val="0"/>
                <w:bCs w:val="0"/>
                <w:i w:val="0"/>
                <w:iCs w:val="0"/>
                <w:smallCaps w:val="0"/>
                <w:color w:val="000000"/>
                <w:sz w:val="20"/>
                <w:szCs w:val="20"/>
              </w:rPr>
            </w:pPr>
            <w:r>
              <w:rPr>
                <w:rFonts w:ascii="仿宋_GB2312" w:hAnsi="仿宋_GB2312" w:eastAsia="仿宋_GB2312" w:cs="仿宋_GB2312"/>
                <w:b w:val="0"/>
                <w:bCs w:val="0"/>
                <w:i w:val="0"/>
                <w:iCs w:val="0"/>
                <w:smallCaps w:val="0"/>
                <w:color w:val="000000"/>
              </w:rPr>
              <w:t> </w:t>
            </w:r>
          </w:p>
        </w:tc>
      </w:tr>
      <w:tr>
        <w:tblPrEx>
          <w:tblCellMar>
            <w:top w:w="15" w:type="dxa"/>
            <w:left w:w="15" w:type="dxa"/>
            <w:bottom w:w="15" w:type="dxa"/>
            <w:right w:w="15" w:type="dxa"/>
          </w:tblCellMar>
        </w:tblPrEx>
        <w:trPr>
          <w:trHeight w:val="291" w:hRule="atLeast"/>
          <w:tblCellSpacing w:w="0" w:type="dxa"/>
          <w:jc w:val="center"/>
        </w:trPr>
        <w:tc>
          <w:tcPr>
            <w:tcW w:w="1282" w:type="dxa"/>
            <w:tcBorders>
              <w:left w:val="single" w:color="000000" w:sz="8" w:space="0"/>
              <w:bottom w:val="single" w:color="000000" w:sz="8" w:space="0"/>
              <w:right w:val="single" w:color="000000" w:sz="8" w:space="0"/>
            </w:tcBorders>
            <w:noWrap w:val="0"/>
            <w:tcMar>
              <w:top w:w="0" w:type="dxa"/>
              <w:left w:w="118" w:type="dxa"/>
              <w:bottom w:w="0" w:type="dxa"/>
              <w:right w:w="118" w:type="dxa"/>
            </w:tcMar>
            <w:vAlign w:val="center"/>
          </w:tcPr>
          <w:p>
            <w:pPr>
              <w:pStyle w:val="15"/>
              <w:spacing w:after="0" w:line="300" w:lineRule="atLeast"/>
              <w:jc w:val="center"/>
              <w:rPr>
                <w:b w:val="0"/>
                <w:bCs w:val="0"/>
                <w:i w:val="0"/>
                <w:iCs w:val="0"/>
                <w:smallCaps w:val="0"/>
                <w:color w:val="000000"/>
                <w:sz w:val="20"/>
                <w:szCs w:val="20"/>
              </w:rPr>
            </w:pPr>
            <w:r>
              <w:rPr>
                <w:rFonts w:ascii="仿宋_GB2312" w:hAnsi="仿宋_GB2312" w:eastAsia="仿宋_GB2312" w:cs="仿宋_GB2312"/>
                <w:b w:val="0"/>
                <w:bCs w:val="0"/>
                <w:i w:val="0"/>
                <w:iCs w:val="0"/>
                <w:smallCaps w:val="0"/>
                <w:color w:val="000000"/>
              </w:rPr>
              <w:t>6</w:t>
            </w:r>
          </w:p>
        </w:tc>
        <w:tc>
          <w:tcPr>
            <w:tcW w:w="4834" w:type="dxa"/>
            <w:tcBorders>
              <w:bottom w:val="single" w:color="000000" w:sz="8" w:space="0"/>
              <w:right w:val="single" w:color="000000" w:sz="8" w:space="0"/>
            </w:tcBorders>
            <w:noWrap w:val="0"/>
            <w:tcMar>
              <w:top w:w="0" w:type="dxa"/>
              <w:left w:w="108" w:type="dxa"/>
              <w:bottom w:w="0" w:type="dxa"/>
              <w:right w:w="118" w:type="dxa"/>
            </w:tcMar>
            <w:vAlign w:val="center"/>
          </w:tcPr>
          <w:p>
            <w:pPr>
              <w:pStyle w:val="15"/>
              <w:spacing w:after="0" w:line="300" w:lineRule="atLeast"/>
              <w:jc w:val="center"/>
              <w:rPr>
                <w:b w:val="0"/>
                <w:bCs w:val="0"/>
                <w:i w:val="0"/>
                <w:iCs w:val="0"/>
                <w:smallCaps w:val="0"/>
                <w:color w:val="000000"/>
                <w:sz w:val="20"/>
                <w:szCs w:val="20"/>
              </w:rPr>
            </w:pPr>
            <w:r>
              <w:rPr>
                <w:rFonts w:ascii="仿宋_GB2312" w:hAnsi="仿宋_GB2312" w:eastAsia="仿宋_GB2312" w:cs="仿宋_GB2312"/>
                <w:b w:val="0"/>
                <w:bCs w:val="0"/>
                <w:i w:val="0"/>
                <w:iCs w:val="0"/>
                <w:smallCaps w:val="0"/>
                <w:color w:val="000000"/>
              </w:rPr>
              <w:t>集成实施方案</w:t>
            </w:r>
          </w:p>
        </w:tc>
        <w:tc>
          <w:tcPr>
            <w:tcW w:w="1709" w:type="dxa"/>
            <w:tcBorders>
              <w:bottom w:val="single" w:color="000000" w:sz="8" w:space="0"/>
              <w:right w:val="single" w:color="000000" w:sz="8" w:space="0"/>
            </w:tcBorders>
            <w:noWrap w:val="0"/>
            <w:tcMar>
              <w:top w:w="0" w:type="dxa"/>
              <w:left w:w="108" w:type="dxa"/>
              <w:bottom w:w="0" w:type="dxa"/>
              <w:right w:w="118" w:type="dxa"/>
            </w:tcMar>
            <w:vAlign w:val="center"/>
          </w:tcPr>
          <w:p>
            <w:pPr>
              <w:pStyle w:val="15"/>
              <w:spacing w:after="0" w:line="300" w:lineRule="atLeast"/>
              <w:jc w:val="center"/>
              <w:rPr>
                <w:b w:val="0"/>
                <w:bCs w:val="0"/>
                <w:i w:val="0"/>
                <w:iCs w:val="0"/>
                <w:smallCaps w:val="0"/>
                <w:color w:val="000000"/>
                <w:sz w:val="20"/>
                <w:szCs w:val="20"/>
              </w:rPr>
            </w:pPr>
            <w:r>
              <w:rPr>
                <w:rFonts w:ascii="仿宋_GB2312" w:hAnsi="仿宋_GB2312" w:eastAsia="仿宋_GB2312" w:cs="仿宋_GB2312"/>
                <w:b w:val="0"/>
                <w:bCs w:val="0"/>
                <w:i w:val="0"/>
                <w:iCs w:val="0"/>
                <w:smallCaps w:val="0"/>
                <w:color w:val="000000"/>
              </w:rPr>
              <w:t>电子/纸质</w:t>
            </w:r>
          </w:p>
        </w:tc>
        <w:tc>
          <w:tcPr>
            <w:tcW w:w="1000" w:type="dxa"/>
            <w:tcBorders>
              <w:bottom w:val="single" w:color="000000" w:sz="8" w:space="0"/>
              <w:right w:val="single" w:color="000000" w:sz="8" w:space="0"/>
            </w:tcBorders>
            <w:noWrap w:val="0"/>
            <w:tcMar>
              <w:top w:w="0" w:type="dxa"/>
              <w:left w:w="108" w:type="dxa"/>
              <w:bottom w:w="0" w:type="dxa"/>
              <w:right w:w="118" w:type="dxa"/>
            </w:tcMar>
            <w:vAlign w:val="center"/>
          </w:tcPr>
          <w:p>
            <w:pPr>
              <w:pStyle w:val="15"/>
              <w:spacing w:after="0" w:line="300" w:lineRule="atLeast"/>
              <w:jc w:val="center"/>
              <w:rPr>
                <w:b w:val="0"/>
                <w:bCs w:val="0"/>
                <w:i w:val="0"/>
                <w:iCs w:val="0"/>
                <w:smallCaps w:val="0"/>
                <w:color w:val="000000"/>
                <w:sz w:val="20"/>
                <w:szCs w:val="20"/>
              </w:rPr>
            </w:pPr>
            <w:r>
              <w:rPr>
                <w:rFonts w:ascii="仿宋_GB2312" w:hAnsi="仿宋_GB2312" w:eastAsia="仿宋_GB2312" w:cs="仿宋_GB2312"/>
                <w:b w:val="0"/>
                <w:bCs w:val="0"/>
                <w:i w:val="0"/>
                <w:iCs w:val="0"/>
                <w:smallCaps w:val="0"/>
                <w:color w:val="000000"/>
              </w:rPr>
              <w:t> </w:t>
            </w:r>
          </w:p>
        </w:tc>
      </w:tr>
      <w:tr>
        <w:tblPrEx>
          <w:tblCellMar>
            <w:top w:w="15" w:type="dxa"/>
            <w:left w:w="15" w:type="dxa"/>
            <w:bottom w:w="15" w:type="dxa"/>
            <w:right w:w="15" w:type="dxa"/>
          </w:tblCellMar>
        </w:tblPrEx>
        <w:trPr>
          <w:tblCellSpacing w:w="0" w:type="dxa"/>
          <w:jc w:val="center"/>
        </w:trPr>
        <w:tc>
          <w:tcPr>
            <w:tcW w:w="1282" w:type="dxa"/>
            <w:tcBorders>
              <w:left w:val="single" w:color="000000" w:sz="8" w:space="0"/>
              <w:bottom w:val="single" w:color="000000" w:sz="8" w:space="0"/>
              <w:right w:val="single" w:color="000000" w:sz="8" w:space="0"/>
            </w:tcBorders>
            <w:noWrap w:val="0"/>
            <w:tcMar>
              <w:top w:w="0" w:type="dxa"/>
              <w:left w:w="118" w:type="dxa"/>
              <w:bottom w:w="0" w:type="dxa"/>
              <w:right w:w="118" w:type="dxa"/>
            </w:tcMar>
            <w:vAlign w:val="center"/>
          </w:tcPr>
          <w:p>
            <w:pPr>
              <w:pStyle w:val="15"/>
              <w:spacing w:after="0" w:line="300" w:lineRule="atLeast"/>
              <w:jc w:val="center"/>
              <w:rPr>
                <w:b w:val="0"/>
                <w:bCs w:val="0"/>
                <w:i w:val="0"/>
                <w:iCs w:val="0"/>
                <w:smallCaps w:val="0"/>
                <w:color w:val="000000"/>
                <w:sz w:val="20"/>
                <w:szCs w:val="20"/>
              </w:rPr>
            </w:pPr>
            <w:r>
              <w:rPr>
                <w:rFonts w:ascii="仿宋_GB2312" w:hAnsi="仿宋_GB2312" w:eastAsia="仿宋_GB2312" w:cs="仿宋_GB2312"/>
                <w:b w:val="0"/>
                <w:bCs w:val="0"/>
                <w:i w:val="0"/>
                <w:iCs w:val="0"/>
                <w:smallCaps w:val="0"/>
                <w:color w:val="000000"/>
              </w:rPr>
              <w:t>7</w:t>
            </w:r>
          </w:p>
        </w:tc>
        <w:tc>
          <w:tcPr>
            <w:tcW w:w="4834" w:type="dxa"/>
            <w:tcBorders>
              <w:bottom w:val="single" w:color="000000" w:sz="8" w:space="0"/>
              <w:right w:val="single" w:color="000000" w:sz="8" w:space="0"/>
            </w:tcBorders>
            <w:noWrap w:val="0"/>
            <w:tcMar>
              <w:top w:w="0" w:type="dxa"/>
              <w:left w:w="108" w:type="dxa"/>
              <w:bottom w:w="0" w:type="dxa"/>
              <w:right w:w="118" w:type="dxa"/>
            </w:tcMar>
            <w:vAlign w:val="center"/>
          </w:tcPr>
          <w:p>
            <w:pPr>
              <w:pStyle w:val="15"/>
              <w:spacing w:after="0" w:line="300" w:lineRule="atLeast"/>
              <w:jc w:val="center"/>
              <w:rPr>
                <w:b w:val="0"/>
                <w:bCs w:val="0"/>
                <w:i w:val="0"/>
                <w:iCs w:val="0"/>
                <w:smallCaps w:val="0"/>
                <w:color w:val="000000"/>
                <w:sz w:val="20"/>
                <w:szCs w:val="20"/>
              </w:rPr>
            </w:pPr>
            <w:r>
              <w:rPr>
                <w:rFonts w:ascii="仿宋_GB2312" w:hAnsi="仿宋_GB2312" w:eastAsia="仿宋_GB2312" w:cs="仿宋_GB2312"/>
                <w:b w:val="0"/>
                <w:bCs w:val="0"/>
                <w:i w:val="0"/>
                <w:iCs w:val="0"/>
                <w:smallCaps w:val="0"/>
                <w:color w:val="000000"/>
              </w:rPr>
              <w:t>用户培训资料</w:t>
            </w:r>
          </w:p>
        </w:tc>
        <w:tc>
          <w:tcPr>
            <w:tcW w:w="1709" w:type="dxa"/>
            <w:tcBorders>
              <w:bottom w:val="single" w:color="000000" w:sz="8" w:space="0"/>
              <w:right w:val="single" w:color="000000" w:sz="8" w:space="0"/>
            </w:tcBorders>
            <w:noWrap w:val="0"/>
            <w:tcMar>
              <w:top w:w="0" w:type="dxa"/>
              <w:left w:w="108" w:type="dxa"/>
              <w:bottom w:w="0" w:type="dxa"/>
              <w:right w:w="118" w:type="dxa"/>
            </w:tcMar>
            <w:vAlign w:val="center"/>
          </w:tcPr>
          <w:p>
            <w:pPr>
              <w:pStyle w:val="15"/>
              <w:spacing w:after="0" w:line="300" w:lineRule="atLeast"/>
              <w:jc w:val="center"/>
              <w:rPr>
                <w:b w:val="0"/>
                <w:bCs w:val="0"/>
                <w:i w:val="0"/>
                <w:iCs w:val="0"/>
                <w:smallCaps w:val="0"/>
                <w:color w:val="000000"/>
                <w:sz w:val="20"/>
                <w:szCs w:val="20"/>
              </w:rPr>
            </w:pPr>
            <w:r>
              <w:rPr>
                <w:rFonts w:ascii="仿宋_GB2312" w:hAnsi="仿宋_GB2312" w:eastAsia="仿宋_GB2312" w:cs="仿宋_GB2312"/>
                <w:b w:val="0"/>
                <w:bCs w:val="0"/>
                <w:i w:val="0"/>
                <w:iCs w:val="0"/>
                <w:smallCaps w:val="0"/>
                <w:color w:val="000000"/>
              </w:rPr>
              <w:t>电子</w:t>
            </w:r>
          </w:p>
        </w:tc>
        <w:tc>
          <w:tcPr>
            <w:tcW w:w="1000" w:type="dxa"/>
            <w:tcBorders>
              <w:bottom w:val="single" w:color="000000" w:sz="8" w:space="0"/>
              <w:right w:val="single" w:color="000000" w:sz="8" w:space="0"/>
            </w:tcBorders>
            <w:noWrap w:val="0"/>
            <w:tcMar>
              <w:top w:w="0" w:type="dxa"/>
              <w:left w:w="108" w:type="dxa"/>
              <w:bottom w:w="0" w:type="dxa"/>
              <w:right w:w="118" w:type="dxa"/>
            </w:tcMar>
            <w:vAlign w:val="center"/>
          </w:tcPr>
          <w:p>
            <w:pPr>
              <w:pStyle w:val="15"/>
              <w:spacing w:after="0" w:line="300" w:lineRule="atLeast"/>
              <w:jc w:val="center"/>
              <w:rPr>
                <w:b w:val="0"/>
                <w:bCs w:val="0"/>
                <w:i w:val="0"/>
                <w:iCs w:val="0"/>
                <w:smallCaps w:val="0"/>
                <w:color w:val="000000"/>
                <w:sz w:val="20"/>
                <w:szCs w:val="20"/>
              </w:rPr>
            </w:pPr>
            <w:r>
              <w:rPr>
                <w:rFonts w:ascii="仿宋_GB2312" w:hAnsi="仿宋_GB2312" w:eastAsia="仿宋_GB2312" w:cs="仿宋_GB2312"/>
                <w:b w:val="0"/>
                <w:bCs w:val="0"/>
                <w:i w:val="0"/>
                <w:iCs w:val="0"/>
                <w:smallCaps w:val="0"/>
                <w:color w:val="000000"/>
              </w:rPr>
              <w:t> </w:t>
            </w:r>
          </w:p>
        </w:tc>
      </w:tr>
      <w:tr>
        <w:tblPrEx>
          <w:tblCellMar>
            <w:top w:w="15" w:type="dxa"/>
            <w:left w:w="15" w:type="dxa"/>
            <w:bottom w:w="15" w:type="dxa"/>
            <w:right w:w="15" w:type="dxa"/>
          </w:tblCellMar>
        </w:tblPrEx>
        <w:trPr>
          <w:tblCellSpacing w:w="0" w:type="dxa"/>
          <w:jc w:val="center"/>
        </w:trPr>
        <w:tc>
          <w:tcPr>
            <w:tcW w:w="1282" w:type="dxa"/>
            <w:tcBorders>
              <w:left w:val="single" w:color="000000" w:sz="8" w:space="0"/>
              <w:bottom w:val="single" w:color="000000" w:sz="8" w:space="0"/>
              <w:right w:val="single" w:color="000000" w:sz="8" w:space="0"/>
            </w:tcBorders>
            <w:noWrap w:val="0"/>
            <w:tcMar>
              <w:top w:w="0" w:type="dxa"/>
              <w:left w:w="118" w:type="dxa"/>
              <w:bottom w:w="0" w:type="dxa"/>
              <w:right w:w="118" w:type="dxa"/>
            </w:tcMar>
            <w:vAlign w:val="center"/>
          </w:tcPr>
          <w:p>
            <w:pPr>
              <w:pStyle w:val="15"/>
              <w:spacing w:after="0" w:line="300" w:lineRule="atLeast"/>
              <w:jc w:val="center"/>
              <w:rPr>
                <w:b w:val="0"/>
                <w:bCs w:val="0"/>
                <w:i w:val="0"/>
                <w:iCs w:val="0"/>
                <w:smallCaps w:val="0"/>
                <w:color w:val="000000"/>
                <w:sz w:val="20"/>
                <w:szCs w:val="20"/>
              </w:rPr>
            </w:pPr>
            <w:r>
              <w:rPr>
                <w:rFonts w:ascii="仿宋_GB2312" w:hAnsi="仿宋_GB2312" w:eastAsia="仿宋_GB2312" w:cs="仿宋_GB2312"/>
                <w:b w:val="0"/>
                <w:bCs w:val="0"/>
                <w:i w:val="0"/>
                <w:iCs w:val="0"/>
                <w:smallCaps w:val="0"/>
                <w:color w:val="000000"/>
              </w:rPr>
              <w:t>8</w:t>
            </w:r>
          </w:p>
        </w:tc>
        <w:tc>
          <w:tcPr>
            <w:tcW w:w="4834" w:type="dxa"/>
            <w:tcBorders>
              <w:bottom w:val="single" w:color="000000" w:sz="8" w:space="0"/>
              <w:right w:val="single" w:color="000000" w:sz="8" w:space="0"/>
            </w:tcBorders>
            <w:noWrap w:val="0"/>
            <w:tcMar>
              <w:top w:w="0" w:type="dxa"/>
              <w:left w:w="108" w:type="dxa"/>
              <w:bottom w:w="0" w:type="dxa"/>
              <w:right w:w="118" w:type="dxa"/>
            </w:tcMar>
            <w:vAlign w:val="center"/>
          </w:tcPr>
          <w:p>
            <w:pPr>
              <w:pStyle w:val="15"/>
              <w:spacing w:after="0" w:line="300" w:lineRule="atLeast"/>
              <w:jc w:val="center"/>
              <w:rPr>
                <w:b w:val="0"/>
                <w:bCs w:val="0"/>
                <w:i w:val="0"/>
                <w:iCs w:val="0"/>
                <w:smallCaps w:val="0"/>
                <w:color w:val="000000"/>
                <w:sz w:val="20"/>
                <w:szCs w:val="20"/>
              </w:rPr>
            </w:pPr>
            <w:r>
              <w:rPr>
                <w:rFonts w:ascii="仿宋_GB2312" w:hAnsi="仿宋_GB2312" w:eastAsia="仿宋_GB2312" w:cs="仿宋_GB2312"/>
                <w:b w:val="0"/>
                <w:bCs w:val="0"/>
                <w:i w:val="0"/>
                <w:iCs w:val="0"/>
                <w:smallCaps w:val="0"/>
                <w:color w:val="000000"/>
              </w:rPr>
              <w:t>其他资料</w:t>
            </w:r>
          </w:p>
        </w:tc>
        <w:tc>
          <w:tcPr>
            <w:tcW w:w="1709" w:type="dxa"/>
            <w:tcBorders>
              <w:bottom w:val="single" w:color="000000" w:sz="8" w:space="0"/>
              <w:right w:val="single" w:color="000000" w:sz="8" w:space="0"/>
            </w:tcBorders>
            <w:noWrap w:val="0"/>
            <w:tcMar>
              <w:top w:w="0" w:type="dxa"/>
              <w:left w:w="108" w:type="dxa"/>
              <w:bottom w:w="0" w:type="dxa"/>
              <w:right w:w="118" w:type="dxa"/>
            </w:tcMar>
            <w:vAlign w:val="center"/>
          </w:tcPr>
          <w:p>
            <w:pPr>
              <w:pStyle w:val="15"/>
              <w:spacing w:after="0" w:line="300" w:lineRule="atLeast"/>
              <w:jc w:val="center"/>
              <w:rPr>
                <w:b w:val="0"/>
                <w:bCs w:val="0"/>
                <w:i w:val="0"/>
                <w:iCs w:val="0"/>
                <w:smallCaps w:val="0"/>
                <w:color w:val="000000"/>
                <w:sz w:val="20"/>
                <w:szCs w:val="20"/>
              </w:rPr>
            </w:pPr>
            <w:r>
              <w:rPr>
                <w:rFonts w:ascii="仿宋_GB2312" w:hAnsi="仿宋_GB2312" w:eastAsia="仿宋_GB2312" w:cs="仿宋_GB2312"/>
                <w:b w:val="0"/>
                <w:bCs w:val="0"/>
                <w:i w:val="0"/>
                <w:iCs w:val="0"/>
                <w:smallCaps w:val="0"/>
                <w:color w:val="000000"/>
              </w:rPr>
              <w:t>电子</w:t>
            </w:r>
          </w:p>
        </w:tc>
        <w:tc>
          <w:tcPr>
            <w:tcW w:w="1000" w:type="dxa"/>
            <w:tcBorders>
              <w:bottom w:val="single" w:color="000000" w:sz="8" w:space="0"/>
              <w:right w:val="single" w:color="000000" w:sz="8" w:space="0"/>
            </w:tcBorders>
            <w:noWrap w:val="0"/>
            <w:tcMar>
              <w:top w:w="0" w:type="dxa"/>
              <w:left w:w="108" w:type="dxa"/>
              <w:bottom w:w="0" w:type="dxa"/>
              <w:right w:w="118" w:type="dxa"/>
            </w:tcMar>
            <w:vAlign w:val="center"/>
          </w:tcPr>
          <w:p>
            <w:pPr>
              <w:pStyle w:val="15"/>
              <w:spacing w:after="0" w:line="300" w:lineRule="atLeast"/>
              <w:jc w:val="center"/>
              <w:rPr>
                <w:b w:val="0"/>
                <w:bCs w:val="0"/>
                <w:i w:val="0"/>
                <w:iCs w:val="0"/>
                <w:smallCaps w:val="0"/>
                <w:color w:val="000000"/>
                <w:sz w:val="20"/>
                <w:szCs w:val="20"/>
              </w:rPr>
            </w:pPr>
            <w:r>
              <w:rPr>
                <w:b w:val="0"/>
                <w:bCs w:val="0"/>
                <w:i w:val="0"/>
                <w:iCs w:val="0"/>
                <w:smallCaps w:val="0"/>
                <w:color w:val="000000"/>
                <w:sz w:val="20"/>
                <w:szCs w:val="20"/>
              </w:rPr>
              <w:t> </w:t>
            </w:r>
          </w:p>
        </w:tc>
      </w:tr>
    </w:tbl>
    <w:p>
      <w:pPr>
        <w:pStyle w:val="3"/>
        <w:keepNext w:val="0"/>
        <w:spacing w:before="0" w:after="0" w:line="360" w:lineRule="auto"/>
        <w:rPr>
          <w:rFonts w:ascii="仿宋_GB2312" w:hAnsi="仿宋_GB2312" w:eastAsia="仿宋_GB2312" w:cs="仿宋_GB2312"/>
          <w:b/>
          <w:bCs/>
          <w:sz w:val="28"/>
          <w:szCs w:val="28"/>
        </w:rPr>
      </w:pPr>
      <w:bookmarkStart w:id="70" w:name="_Toc256000069"/>
      <w:r>
        <w:rPr>
          <w:rFonts w:ascii="仿宋_GB2312" w:hAnsi="仿宋_GB2312" w:eastAsia="仿宋_GB2312" w:cs="仿宋_GB2312"/>
          <w:i w:val="0"/>
          <w:iCs w:val="0"/>
        </w:rPr>
        <w:t>7.3违约责任</w:t>
      </w:r>
      <w:bookmarkEnd w:id="70"/>
    </w:p>
    <w:p>
      <w:pPr>
        <w:pStyle w:val="15"/>
        <w:spacing w:before="0" w:after="0" w:line="360" w:lineRule="auto"/>
        <w:ind w:firstLine="560"/>
        <w:rPr>
          <w:rFonts w:ascii="Times New Roman" w:hAnsi="Times New Roman" w:eastAsia="Times New Roman" w:cs="Times New Roman"/>
        </w:rPr>
      </w:pPr>
      <w:r>
        <w:rPr>
          <w:rFonts w:ascii="方正仿宋_GB2312" w:hAnsi="方正仿宋_GB2312" w:eastAsia="方正仿宋_GB2312" w:cs="方正仿宋_GB2312"/>
          <w:sz w:val="28"/>
          <w:szCs w:val="28"/>
        </w:rPr>
        <w:t>对于投标人在执行项目实施过程中或提供服务时，发生下列事件，采购人应当依法追究其违约责任。</w:t>
      </w:r>
    </w:p>
    <w:p>
      <w:pPr>
        <w:pStyle w:val="18"/>
        <w:spacing w:before="0" w:after="0" w:line="360" w:lineRule="auto"/>
        <w:ind w:left="0" w:firstLine="0"/>
        <w:jc w:val="both"/>
        <w:rPr>
          <w:rFonts w:ascii="Times New Roman" w:hAnsi="Times New Roman" w:eastAsia="Times New Roman" w:cs="Times New Roman"/>
        </w:rPr>
      </w:pPr>
      <w:r>
        <w:rPr>
          <w:rFonts w:ascii="方正仿宋_GB2312" w:hAnsi="方正仿宋_GB2312" w:eastAsia="方正仿宋_GB2312" w:cs="方正仿宋_GB2312"/>
          <w:b/>
          <w:bCs/>
          <w:sz w:val="28"/>
          <w:szCs w:val="28"/>
        </w:rPr>
        <w:t>7.3.1失信惩戒</w:t>
      </w:r>
    </w:p>
    <w:p>
      <w:pPr>
        <w:pStyle w:val="18"/>
        <w:spacing w:before="0" w:after="0" w:line="360" w:lineRule="auto"/>
        <w:ind w:firstLine="560"/>
        <w:rPr>
          <w:rFonts w:ascii="Times New Roman" w:hAnsi="Times New Roman" w:eastAsia="Times New Roman" w:cs="Times New Roman"/>
        </w:rPr>
      </w:pPr>
      <w:r>
        <w:rPr>
          <w:rFonts w:ascii="方正仿宋_GB2312" w:hAnsi="方正仿宋_GB2312" w:eastAsia="方正仿宋_GB2312" w:cs="方正仿宋_GB2312"/>
          <w:sz w:val="28"/>
          <w:szCs w:val="28"/>
        </w:rPr>
        <w:t>投标人对供应链安全管理责任落实不到位，造成安全事件或产生不良影响的，招标人按照《税务系统信息化服务商失信行为记录名单制度（试行）》（税总办征科发〔2022〕1号）要求，组织对投标人进行失信行为认定，并采取相应的处置措施。</w:t>
      </w:r>
    </w:p>
    <w:p>
      <w:pPr>
        <w:pStyle w:val="13"/>
        <w:spacing w:before="0" w:after="0" w:line="360" w:lineRule="auto"/>
        <w:textAlignment w:val="baseline"/>
        <w:rPr>
          <w:rFonts w:ascii="Times New Roman" w:hAnsi="Times New Roman" w:eastAsia="Times New Roman" w:cs="Times New Roman"/>
        </w:rPr>
      </w:pPr>
      <w:r>
        <w:rPr>
          <w:rFonts w:ascii="方正仿宋_GB2312" w:hAnsi="方正仿宋_GB2312" w:eastAsia="方正仿宋_GB2312" w:cs="方正仿宋_GB2312"/>
          <w:b/>
          <w:bCs/>
          <w:sz w:val="28"/>
          <w:szCs w:val="28"/>
        </w:rPr>
        <w:t>7.3.2违约处罚</w:t>
      </w:r>
    </w:p>
    <w:p>
      <w:pPr>
        <w:spacing w:before="0" w:after="0" w:line="360" w:lineRule="auto"/>
        <w:rPr>
          <w:rFonts w:ascii="仿宋_GB2312" w:hAnsi="仿宋_GB2312" w:eastAsia="仿宋_GB2312" w:cs="仿宋_GB2312"/>
          <w:sz w:val="28"/>
          <w:szCs w:val="28"/>
        </w:rPr>
      </w:pPr>
      <w:r>
        <w:rPr>
          <w:rFonts w:ascii="方正仿宋_GB2312" w:hAnsi="方正仿宋_GB2312" w:eastAsia="方正仿宋_GB2312" w:cs="方正仿宋_GB2312"/>
          <w:sz w:val="28"/>
          <w:szCs w:val="28"/>
        </w:rPr>
        <w:t>    1.在项目执行过程中，若投标人出现违规实施或管理不善导致的故障，对采购人造成严重影响的，每发生一次，采购人有权按次按合同总金额的千分之一（0.1%），在验收时进行扣除。</w:t>
      </w:r>
    </w:p>
    <w:p>
      <w:pPr>
        <w:pStyle w:val="13"/>
        <w:spacing w:before="0" w:after="0" w:line="360" w:lineRule="auto"/>
        <w:jc w:val="both"/>
        <w:textAlignment w:val="baseline"/>
        <w:rPr>
          <w:rFonts w:ascii="Times New Roman" w:hAnsi="Times New Roman" w:eastAsia="Times New Roman" w:cs="Times New Roman"/>
        </w:rPr>
      </w:pPr>
      <w:r>
        <w:rPr>
          <w:rFonts w:ascii="方正仿宋_GB2312" w:hAnsi="方正仿宋_GB2312" w:eastAsia="方正仿宋_GB2312" w:cs="方正仿宋_GB2312"/>
          <w:sz w:val="28"/>
          <w:szCs w:val="28"/>
        </w:rPr>
        <w:t>    2.若投标人未能在合同约定的时限内完成硬件到货的，自逾期之日起，每逾期一日，采购人有权按合同总金额的千分之一（0.1%），在验收时进行扣除。</w:t>
      </w:r>
    </w:p>
    <w:p>
      <w:pPr>
        <w:pStyle w:val="12"/>
        <w:spacing w:before="0" w:after="0" w:line="360" w:lineRule="auto"/>
        <w:ind w:left="0" w:right="0"/>
      </w:pPr>
      <w:r>
        <w:rPr>
          <w:rFonts w:ascii="方正仿宋_GB2312" w:hAnsi="方正仿宋_GB2312" w:eastAsia="方正仿宋_GB2312" w:cs="方正仿宋_GB2312"/>
          <w:sz w:val="28"/>
          <w:szCs w:val="28"/>
        </w:rPr>
        <w:t>    3.在项目执行过程中，若投标人不配合采购人开展项目实施工作的或者因投标人原因逾期完成工作任务的，每发生一次，采购人有权按次按合同总金额的千分之一（0.1%），在验收时进行扣除。</w:t>
      </w:r>
    </w:p>
    <w:p>
      <w:pPr>
        <w:pStyle w:val="2"/>
        <w:keepNext w:val="0"/>
        <w:spacing w:before="0" w:after="0" w:line="360" w:lineRule="auto"/>
        <w:jc w:val="center"/>
        <w:rPr>
          <w:rFonts w:ascii="仿宋_GB2312" w:hAnsi="仿宋_GB2312" w:eastAsia="仿宋_GB2312" w:cs="仿宋_GB2312"/>
          <w:b/>
          <w:bCs/>
          <w:sz w:val="32"/>
          <w:szCs w:val="32"/>
        </w:rPr>
      </w:pPr>
      <w:bookmarkStart w:id="71" w:name="_Toc256000070"/>
      <w:r>
        <w:rPr>
          <w:rFonts w:ascii="仿宋_GB2312" w:hAnsi="仿宋_GB2312" w:eastAsia="仿宋_GB2312" w:cs="仿宋_GB2312"/>
          <w:kern w:val="36"/>
        </w:rPr>
        <w:t>8其他要求</w:t>
      </w:r>
      <w:bookmarkEnd w:id="71"/>
    </w:p>
    <w:p>
      <w:pPr>
        <w:pStyle w:val="3"/>
        <w:keepNext w:val="0"/>
        <w:spacing w:before="0" w:after="0" w:line="360" w:lineRule="auto"/>
        <w:rPr>
          <w:rFonts w:ascii="仿宋_GB2312" w:hAnsi="仿宋_GB2312" w:eastAsia="仿宋_GB2312" w:cs="仿宋_GB2312"/>
          <w:b/>
          <w:bCs/>
          <w:sz w:val="28"/>
          <w:szCs w:val="28"/>
        </w:rPr>
      </w:pPr>
      <w:bookmarkStart w:id="72" w:name="_Toc256000071"/>
      <w:r>
        <w:rPr>
          <w:rFonts w:ascii="仿宋_GB2312" w:hAnsi="仿宋_GB2312" w:eastAsia="仿宋_GB2312" w:cs="仿宋_GB2312"/>
          <w:i w:val="0"/>
          <w:iCs w:val="0"/>
        </w:rPr>
        <w:t>8.1必备要求</w:t>
      </w:r>
      <w:bookmarkEnd w:id="72"/>
    </w:p>
    <w:p>
      <w:pPr>
        <w:pStyle w:val="4"/>
        <w:keepNext w:val="0"/>
        <w:spacing w:before="0" w:after="0" w:line="360" w:lineRule="auto"/>
        <w:rPr>
          <w:rFonts w:ascii="仿宋_GB2312" w:hAnsi="仿宋_GB2312" w:eastAsia="仿宋_GB2312" w:cs="仿宋_GB2312"/>
          <w:b/>
          <w:bCs/>
          <w:sz w:val="28"/>
          <w:szCs w:val="28"/>
        </w:rPr>
      </w:pPr>
      <w:bookmarkStart w:id="73" w:name="_Toc256000072"/>
      <w:r>
        <w:rPr>
          <w:rFonts w:ascii="仿宋_GB2312" w:hAnsi="仿宋_GB2312" w:eastAsia="仿宋_GB2312" w:cs="仿宋_GB2312"/>
          <w:sz w:val="28"/>
          <w:szCs w:val="28"/>
        </w:rPr>
        <w:t>8.1.1通用必备要求</w:t>
      </w:r>
      <w:bookmarkEnd w:id="73"/>
    </w:p>
    <w:p>
      <w:pPr>
        <w:spacing w:before="0" w:after="0" w:line="360" w:lineRule="auto"/>
        <w:ind w:firstLine="561"/>
        <w:jc w:val="both"/>
        <w:rPr>
          <w:rFonts w:ascii="仿宋_GB2312" w:hAnsi="仿宋_GB2312" w:eastAsia="仿宋_GB2312" w:cs="仿宋_GB2312"/>
          <w:sz w:val="28"/>
          <w:szCs w:val="28"/>
        </w:rPr>
      </w:pPr>
      <w:r>
        <w:rPr>
          <w:rFonts w:ascii="仿宋_GB2312" w:hAnsi="仿宋_GB2312" w:eastAsia="仿宋_GB2312" w:cs="仿宋_GB2312"/>
          <w:sz w:val="28"/>
          <w:szCs w:val="28"/>
        </w:rPr>
        <w:t xml:space="preserve">1.本项目中如涉及商品包装和快递包装的，其包装需求标准应不低于《关于印发&lt;商品包装政府采购需求标准（试行）&gt;、&lt;快递包装政府采购需求标准（试行）&gt;的通知》（财办库〔2020〕123 号）规定的包装要求，如有其他包装需求，详见采购文件技术部分相关章节。 </w:t>
      </w:r>
    </w:p>
    <w:p>
      <w:pPr>
        <w:spacing w:before="0" w:after="0" w:line="360" w:lineRule="auto"/>
        <w:ind w:firstLine="561"/>
        <w:rPr>
          <w:rFonts w:ascii="仿宋_GB2312" w:hAnsi="仿宋_GB2312" w:eastAsia="仿宋_GB2312" w:cs="仿宋_GB2312"/>
          <w:sz w:val="28"/>
          <w:szCs w:val="28"/>
        </w:rPr>
      </w:pPr>
      <w:r>
        <w:rPr>
          <w:rFonts w:ascii="仿宋_GB2312" w:hAnsi="仿宋_GB2312" w:eastAsia="仿宋_GB2312" w:cs="仿宋_GB2312"/>
          <w:sz w:val="28"/>
          <w:szCs w:val="28"/>
        </w:rPr>
        <w:t xml:space="preserve">2.本项目中如涉及网络关键设备或网络安全专用产品的，应严格执行国家互联网信息办公室、工业和信息化部、公安部、财政部和国家认证认可监督管理委员会 2023年第 1 号《关于调整网络安全专用产品安全管理有关事项的公告》及国家互联网信息办公室、工业和信息化部、公安部和国家认证认可监督管理委员会 2023 年第 2号《关于调整&lt;网络关键设备和网络安全专用产品目录&gt;的公告》等相关文件要求，所投标（响应）设备或产品至少符合以下条件之一：一是已由具备资格的机构安全认证合格或安全检测符合要求；二是已获得《计算机信息系统安全专用产品销售许可证》，且在有效期内。 </w:t>
      </w:r>
    </w:p>
    <w:p>
      <w:pPr>
        <w:spacing w:before="0" w:after="0" w:line="360" w:lineRule="auto"/>
        <w:ind w:firstLine="561"/>
        <w:rPr>
          <w:rFonts w:ascii="仿宋_GB2312" w:hAnsi="仿宋_GB2312" w:eastAsia="仿宋_GB2312" w:cs="仿宋_GB2312"/>
          <w:sz w:val="28"/>
          <w:szCs w:val="28"/>
        </w:rPr>
      </w:pPr>
      <w:r>
        <w:rPr>
          <w:rFonts w:ascii="仿宋_GB2312" w:hAnsi="仿宋_GB2312" w:eastAsia="仿宋_GB2312" w:cs="仿宋_GB2312"/>
          <w:sz w:val="28"/>
          <w:szCs w:val="28"/>
        </w:rPr>
        <w:t xml:space="preserve">3.本项目中如涉及国家强制性产品认证证书（CCC 认证证书）、电信设备进网许可证、无线电发射设备核准证等市场准入类资质的，应严格执行国家相关法律法规的要求。 </w:t>
      </w:r>
    </w:p>
    <w:p>
      <w:pPr>
        <w:spacing w:before="0" w:after="0" w:line="360" w:lineRule="auto"/>
        <w:ind w:firstLine="561"/>
        <w:rPr>
          <w:rFonts w:ascii="仿宋_GB2312" w:hAnsi="仿宋_GB2312" w:eastAsia="仿宋_GB2312" w:cs="仿宋_GB2312"/>
          <w:sz w:val="28"/>
          <w:szCs w:val="28"/>
        </w:rPr>
      </w:pPr>
      <w:r>
        <w:rPr>
          <w:rFonts w:ascii="仿宋_GB2312" w:hAnsi="仿宋_GB2312" w:eastAsia="仿宋_GB2312" w:cs="仿宋_GB2312"/>
          <w:sz w:val="28"/>
          <w:szCs w:val="28"/>
        </w:rPr>
        <w:t>以上相关要求，由供应商在响应时应答，在履约验收中，采购人将按照采购文件、中标/成交供应商响应文件、采购合同等对中标/成交供应商提供的货物和服务进行验收，必要时依法依规开展相应检测、认证。</w:t>
      </w:r>
    </w:p>
    <w:p>
      <w:pPr>
        <w:pStyle w:val="4"/>
        <w:keepNext w:val="0"/>
        <w:spacing w:before="0" w:after="0" w:line="360" w:lineRule="auto"/>
        <w:rPr>
          <w:rFonts w:ascii="仿宋_GB2312" w:hAnsi="仿宋_GB2312" w:eastAsia="仿宋_GB2312" w:cs="仿宋_GB2312"/>
          <w:b/>
          <w:bCs/>
          <w:sz w:val="28"/>
          <w:szCs w:val="28"/>
        </w:rPr>
      </w:pPr>
      <w:bookmarkStart w:id="74" w:name="_Toc256000073"/>
      <w:r>
        <w:rPr>
          <w:rFonts w:ascii="仿宋_GB2312" w:hAnsi="仿宋_GB2312" w:eastAsia="仿宋_GB2312" w:cs="仿宋_GB2312"/>
          <w:sz w:val="28"/>
          <w:szCs w:val="28"/>
        </w:rPr>
        <w:t>8.1.2服务管理和供应链安全</w:t>
      </w:r>
      <w:bookmarkEnd w:id="74"/>
    </w:p>
    <w:p>
      <w:pPr>
        <w:pStyle w:val="12"/>
        <w:spacing w:before="0" w:after="0" w:line="360" w:lineRule="auto"/>
        <w:ind w:left="0" w:right="0" w:firstLine="561"/>
      </w:pPr>
      <w:r>
        <w:rPr>
          <w:rFonts w:ascii="方正仿宋_GB2312" w:hAnsi="方正仿宋_GB2312" w:eastAsia="方正仿宋_GB2312" w:cs="方正仿宋_GB2312"/>
          <w:sz w:val="28"/>
          <w:szCs w:val="28"/>
        </w:rPr>
        <w:t>中标厂商提供的项目所涉及软件产品及服务的管理，产品及服务必须满足国家认可的网络安全规范和认证要求，定制开发软件必须组织开展网络安全“三同步”测评；中标厂商要严格落实供应链安全管理各项规定，包括按照国家相关法律法规开展安全审查、安全评估、渗透测试等工作。</w:t>
      </w:r>
    </w:p>
    <w:p>
      <w:pPr>
        <w:pStyle w:val="4"/>
        <w:keepNext w:val="0"/>
        <w:spacing w:before="0" w:after="0" w:line="360" w:lineRule="auto"/>
        <w:rPr>
          <w:rFonts w:ascii="仿宋_GB2312" w:hAnsi="仿宋_GB2312" w:eastAsia="仿宋_GB2312" w:cs="仿宋_GB2312"/>
          <w:b/>
          <w:bCs/>
          <w:sz w:val="28"/>
          <w:szCs w:val="28"/>
        </w:rPr>
      </w:pPr>
      <w:bookmarkStart w:id="75" w:name="_Toc256000074"/>
      <w:r>
        <w:rPr>
          <w:rFonts w:ascii="仿宋_GB2312" w:hAnsi="仿宋_GB2312" w:eastAsia="仿宋_GB2312" w:cs="仿宋_GB2312"/>
          <w:sz w:val="28"/>
          <w:szCs w:val="28"/>
        </w:rPr>
        <w:t>8.1.3绿色数据中心要求</w:t>
      </w:r>
      <w:bookmarkEnd w:id="75"/>
    </w:p>
    <w:p>
      <w:pPr>
        <w:pStyle w:val="12"/>
        <w:spacing w:before="0" w:after="0" w:line="360" w:lineRule="auto"/>
        <w:ind w:left="0" w:right="0" w:firstLine="561"/>
      </w:pPr>
      <w:r>
        <w:rPr>
          <w:rFonts w:ascii="方正仿宋_GB2312" w:hAnsi="方正仿宋_GB2312" w:eastAsia="方正仿宋_GB2312" w:cs="方正仿宋_GB2312"/>
          <w:sz w:val="28"/>
          <w:szCs w:val="28"/>
        </w:rPr>
        <w:t>投标人提供的硬件设备设施（服务器、网络交换机、安全设备、精密空调等）的技术参数特性要求，需符合《绿色数据中心政府采购需求标准（试行）》中的相关要求，必要时，投标人在验收阶段需要提供相关检测报告或者认证报告。</w:t>
      </w:r>
    </w:p>
    <w:p>
      <w:pPr>
        <w:pStyle w:val="4"/>
        <w:keepNext w:val="0"/>
        <w:spacing w:before="0" w:after="0" w:line="360" w:lineRule="auto"/>
        <w:rPr>
          <w:rFonts w:ascii="仿宋_GB2312" w:hAnsi="仿宋_GB2312" w:eastAsia="仿宋_GB2312" w:cs="仿宋_GB2312"/>
          <w:b/>
          <w:bCs/>
          <w:sz w:val="28"/>
          <w:szCs w:val="28"/>
        </w:rPr>
      </w:pPr>
      <w:bookmarkStart w:id="76" w:name="_Toc256000075"/>
      <w:r>
        <w:rPr>
          <w:rFonts w:ascii="仿宋_GB2312" w:hAnsi="仿宋_GB2312" w:eastAsia="仿宋_GB2312" w:cs="仿宋_GB2312"/>
          <w:sz w:val="28"/>
          <w:szCs w:val="28"/>
        </w:rPr>
        <w:t>8.1.4税收信息化项目开发和应用管理工作要求</w:t>
      </w:r>
      <w:bookmarkEnd w:id="76"/>
    </w:p>
    <w:p>
      <w:pPr>
        <w:pStyle w:val="12"/>
        <w:spacing w:before="0" w:after="0" w:line="360" w:lineRule="auto"/>
        <w:ind w:left="0" w:right="0" w:firstLine="561"/>
      </w:pPr>
      <w:r>
        <w:rPr>
          <w:rFonts w:ascii="方正仿宋_GB2312" w:hAnsi="方正仿宋_GB2312" w:eastAsia="方正仿宋_GB2312" w:cs="方正仿宋_GB2312"/>
          <w:sz w:val="28"/>
          <w:szCs w:val="28"/>
        </w:rPr>
        <w:t>投标人需按照采购人聘请的项目监理机构所提要求进行项目实施和项目管理，项目验收过程中，监理机构将按照合同内容和工作要求对该项目进行审核，要求投标人确保合同中涉及内容均已阶段性完成，完整提供交付文档和验收文档等。投标人应熟知《税务系统信息化服务商失信行为记录名单制度》并守信履约，发生失信行为，将纳入失信行为记录名单进行管理。</w:t>
      </w:r>
    </w:p>
    <w:p>
      <w:pPr>
        <w:pStyle w:val="4"/>
        <w:keepNext w:val="0"/>
        <w:spacing w:before="0" w:after="0" w:line="360" w:lineRule="auto"/>
        <w:rPr>
          <w:rFonts w:ascii="仿宋_GB2312" w:hAnsi="仿宋_GB2312" w:eastAsia="仿宋_GB2312" w:cs="仿宋_GB2312"/>
          <w:b/>
          <w:bCs/>
          <w:sz w:val="28"/>
          <w:szCs w:val="28"/>
        </w:rPr>
      </w:pPr>
      <w:bookmarkStart w:id="77" w:name="_Toc256000076"/>
      <w:r>
        <w:rPr>
          <w:rFonts w:ascii="仿宋_GB2312" w:hAnsi="仿宋_GB2312" w:eastAsia="仿宋_GB2312" w:cs="仿宋_GB2312"/>
          <w:sz w:val="28"/>
          <w:szCs w:val="28"/>
        </w:rPr>
        <w:t>8.1.5设置网络安全负责人</w:t>
      </w:r>
      <w:bookmarkEnd w:id="77"/>
    </w:p>
    <w:p>
      <w:pPr>
        <w:pStyle w:val="12"/>
        <w:spacing w:before="0" w:after="0" w:line="360" w:lineRule="auto"/>
        <w:ind w:left="0" w:right="0" w:firstLine="561"/>
      </w:pPr>
      <w:r>
        <w:rPr>
          <w:rFonts w:ascii="方正仿宋_GB2312" w:hAnsi="方正仿宋_GB2312" w:eastAsia="方正仿宋_GB2312" w:cs="方正仿宋_GB2312"/>
          <w:sz w:val="28"/>
          <w:szCs w:val="28"/>
        </w:rPr>
        <w:t>中标厂商要建立网络安全负责人制度，并配备一名具备独立决策能力并保持相对稳定的负责人，在项目实施的全过程负责网络安全工作，组织落实各项网络安全要求。</w:t>
      </w:r>
    </w:p>
    <w:p>
      <w:pPr>
        <w:pStyle w:val="4"/>
        <w:keepNext w:val="0"/>
        <w:spacing w:before="0" w:after="0" w:line="360" w:lineRule="auto"/>
        <w:rPr>
          <w:rFonts w:ascii="仿宋_GB2312" w:hAnsi="仿宋_GB2312" w:eastAsia="仿宋_GB2312" w:cs="仿宋_GB2312"/>
          <w:b/>
          <w:bCs/>
          <w:sz w:val="28"/>
          <w:szCs w:val="28"/>
        </w:rPr>
      </w:pPr>
      <w:bookmarkStart w:id="78" w:name="_Toc256000077"/>
      <w:r>
        <w:rPr>
          <w:rFonts w:ascii="仿宋_GB2312" w:hAnsi="仿宋_GB2312" w:eastAsia="仿宋_GB2312" w:cs="仿宋_GB2312"/>
          <w:sz w:val="28"/>
          <w:szCs w:val="28"/>
        </w:rPr>
        <w:t>8.1.6加强安全意识和技能考核</w:t>
      </w:r>
      <w:bookmarkEnd w:id="78"/>
    </w:p>
    <w:p>
      <w:pPr>
        <w:pStyle w:val="12"/>
        <w:spacing w:before="0" w:after="0" w:line="360" w:lineRule="auto"/>
        <w:ind w:left="0" w:right="0" w:firstLine="560"/>
      </w:pPr>
      <w:r>
        <w:rPr>
          <w:rFonts w:ascii="仿宋_GB2312" w:hAnsi="仿宋_GB2312" w:eastAsia="仿宋_GB2312" w:cs="仿宋_GB2312"/>
          <w:sz w:val="28"/>
          <w:szCs w:val="28"/>
        </w:rPr>
        <w:t>中标厂商在项目实施前，要对参与人员开展网络和数据安全法律法规和数据安全、安全技能、保密常识等方面的教育培训，并进行考核；在项目开展期间，中标厂商要定期开展相关培训、考核及警示教育，通过教育培训不断提高驻场人员的网络和数据安全意识及保密意识。</w:t>
      </w:r>
    </w:p>
    <w:p>
      <w:pPr>
        <w:pStyle w:val="4"/>
        <w:keepNext w:val="0"/>
        <w:spacing w:before="0" w:after="0" w:line="360" w:lineRule="auto"/>
        <w:rPr>
          <w:rFonts w:ascii="仿宋_GB2312" w:hAnsi="仿宋_GB2312" w:eastAsia="仿宋_GB2312" w:cs="仿宋_GB2312"/>
          <w:b/>
          <w:bCs/>
          <w:sz w:val="28"/>
          <w:szCs w:val="28"/>
        </w:rPr>
      </w:pPr>
      <w:bookmarkStart w:id="79" w:name="_Toc256000078"/>
      <w:r>
        <w:rPr>
          <w:rFonts w:ascii="仿宋_GB2312" w:hAnsi="仿宋_GB2312" w:eastAsia="仿宋_GB2312" w:cs="仿宋_GB2312"/>
          <w:sz w:val="28"/>
          <w:szCs w:val="28"/>
        </w:rPr>
        <w:t>8.1.7及时报告相关重大事项</w:t>
      </w:r>
      <w:bookmarkEnd w:id="79"/>
    </w:p>
    <w:p>
      <w:pPr>
        <w:pStyle w:val="12"/>
        <w:spacing w:before="0" w:after="0" w:line="360" w:lineRule="auto"/>
        <w:ind w:left="0" w:right="0" w:firstLine="560"/>
      </w:pPr>
      <w:r>
        <w:rPr>
          <w:rFonts w:ascii="仿宋_GB2312" w:hAnsi="仿宋_GB2312" w:eastAsia="仿宋_GB2312" w:cs="仿宋_GB2312"/>
          <w:sz w:val="28"/>
          <w:szCs w:val="28"/>
        </w:rPr>
        <w:t>中标厂商发生可能影响网络安全的重大事项，包括负责人及重要工作人员变更、业务转型、合并重组、投资并购等重大事项要第一时间向采购人报告。</w:t>
      </w:r>
    </w:p>
    <w:p>
      <w:pPr>
        <w:pStyle w:val="3"/>
        <w:keepNext w:val="0"/>
        <w:spacing w:before="0" w:after="0" w:line="360" w:lineRule="auto"/>
        <w:rPr>
          <w:rFonts w:ascii="仿宋_GB2312" w:hAnsi="仿宋_GB2312" w:eastAsia="仿宋_GB2312" w:cs="仿宋_GB2312"/>
          <w:b/>
          <w:bCs/>
          <w:sz w:val="28"/>
          <w:szCs w:val="28"/>
        </w:rPr>
      </w:pPr>
      <w:bookmarkStart w:id="80" w:name="_Toc256000079"/>
      <w:r>
        <w:rPr>
          <w:rFonts w:ascii="仿宋_GB2312" w:hAnsi="仿宋_GB2312" w:eastAsia="仿宋_GB2312" w:cs="仿宋_GB2312"/>
          <w:i w:val="0"/>
          <w:iCs w:val="0"/>
        </w:rPr>
        <w:t>8.2付款安排建议</w:t>
      </w:r>
      <w:bookmarkEnd w:id="80"/>
    </w:p>
    <w:tbl>
      <w:tblPr>
        <w:tblStyle w:val="9"/>
        <w:tblW w:w="5000" w:type="pct"/>
        <w:tblInd w:w="30" w:type="dxa"/>
        <w:tblLayout w:type="autofit"/>
        <w:tblCellMar>
          <w:top w:w="15" w:type="dxa"/>
          <w:left w:w="15" w:type="dxa"/>
          <w:bottom w:w="15" w:type="dxa"/>
          <w:right w:w="15" w:type="dxa"/>
        </w:tblCellMar>
      </w:tblPr>
      <w:tblGrid>
        <w:gridCol w:w="1814"/>
        <w:gridCol w:w="5442"/>
        <w:gridCol w:w="1814"/>
      </w:tblGrid>
      <w:tr>
        <w:tblPrEx>
          <w:tblCellMar>
            <w:top w:w="15" w:type="dxa"/>
            <w:left w:w="15" w:type="dxa"/>
            <w:bottom w:w="15" w:type="dxa"/>
            <w:right w:w="15" w:type="dxa"/>
          </w:tblCellMar>
        </w:tblPrEx>
        <w:tc>
          <w:tcPr>
            <w:tcW w:w="10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付款名称</w:t>
            </w:r>
          </w:p>
        </w:tc>
        <w:tc>
          <w:tcPr>
            <w:tcW w:w="30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付款要求</w:t>
            </w:r>
          </w:p>
        </w:tc>
        <w:tc>
          <w:tcPr>
            <w:tcW w:w="10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付款比例(%)</w:t>
            </w:r>
          </w:p>
        </w:tc>
      </w:tr>
      <w:tr>
        <w:tblPrEx>
          <w:tblCellMar>
            <w:top w:w="15" w:type="dxa"/>
            <w:left w:w="15" w:type="dxa"/>
            <w:bottom w:w="15" w:type="dxa"/>
            <w:right w:w="15" w:type="dxa"/>
          </w:tblCellMar>
        </w:tblPrEx>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第1次付款</w:t>
            </w:r>
          </w:p>
        </w:tc>
        <w:tc>
          <w:tcPr>
            <w:tcW w:w="2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签订合同后30日内，甲方支付乙方合同金额的46.71%的款项（供应商须先提交付款申请和发票）</w:t>
            </w:r>
          </w:p>
        </w:tc>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46.71</w:t>
            </w:r>
          </w:p>
        </w:tc>
      </w:tr>
      <w:tr>
        <w:tblPrEx>
          <w:tblCellMar>
            <w:top w:w="15" w:type="dxa"/>
            <w:left w:w="15" w:type="dxa"/>
            <w:bottom w:w="15" w:type="dxa"/>
            <w:right w:w="15" w:type="dxa"/>
          </w:tblCellMar>
        </w:tblPrEx>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第2次付款</w:t>
            </w:r>
          </w:p>
        </w:tc>
        <w:tc>
          <w:tcPr>
            <w:tcW w:w="2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项目初步验收通过后，依据项目预算情况，甲方支付乙方合同剩余款项（供应商须先提交付款申请和发票）</w:t>
            </w:r>
          </w:p>
        </w:tc>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53.29</w:t>
            </w:r>
          </w:p>
        </w:tc>
      </w:tr>
    </w:tbl>
    <w:p>
      <w:pPr>
        <w:pStyle w:val="4"/>
        <w:keepNext w:val="0"/>
        <w:spacing w:before="0" w:after="0" w:line="360" w:lineRule="auto"/>
        <w:rPr>
          <w:rFonts w:ascii="仿宋_GB2312" w:hAnsi="仿宋_GB2312" w:eastAsia="仿宋_GB2312" w:cs="仿宋_GB2312"/>
          <w:b/>
          <w:bCs/>
          <w:sz w:val="28"/>
          <w:szCs w:val="28"/>
        </w:rPr>
      </w:pPr>
      <w:bookmarkStart w:id="81" w:name="_Toc256000080"/>
      <w:r>
        <w:rPr>
          <w:rFonts w:ascii="仿宋_GB2312" w:hAnsi="仿宋_GB2312" w:eastAsia="仿宋_GB2312" w:cs="仿宋_GB2312"/>
          <w:sz w:val="28"/>
          <w:szCs w:val="28"/>
        </w:rPr>
        <w:t>8.2.1监理要求</w:t>
      </w:r>
      <w:bookmarkEnd w:id="81"/>
    </w:p>
    <w:p>
      <w:pPr>
        <w:pStyle w:val="15"/>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如本项目纳入监理的，供应商应配合完成相关工作，无监理意见甲方不予通过相应阶段验收，不予支付相关款项。</w:t>
      </w:r>
    </w:p>
    <w:p>
      <w:pPr>
        <w:pStyle w:val="3"/>
        <w:keepNext w:val="0"/>
        <w:spacing w:before="0" w:after="0" w:line="360" w:lineRule="auto"/>
        <w:rPr>
          <w:rFonts w:ascii="仿宋_GB2312" w:hAnsi="仿宋_GB2312" w:eastAsia="仿宋_GB2312" w:cs="仿宋_GB2312"/>
          <w:b/>
          <w:bCs/>
          <w:sz w:val="28"/>
          <w:szCs w:val="28"/>
        </w:rPr>
      </w:pPr>
      <w:bookmarkStart w:id="82" w:name="_Toc256000081"/>
      <w:r>
        <w:rPr>
          <w:rFonts w:ascii="仿宋_GB2312" w:hAnsi="仿宋_GB2312" w:eastAsia="仿宋_GB2312" w:cs="仿宋_GB2312"/>
          <w:i w:val="0"/>
          <w:iCs w:val="0"/>
        </w:rPr>
        <w:t>8.3其他要求</w:t>
      </w:r>
      <w:bookmarkEnd w:id="82"/>
    </w:p>
    <w:p>
      <w:pPr>
        <w:pStyle w:val="4"/>
        <w:keepNext w:val="0"/>
        <w:spacing w:before="0" w:after="0" w:line="360" w:lineRule="auto"/>
        <w:rPr>
          <w:rFonts w:ascii="仿宋_GB2312" w:hAnsi="仿宋_GB2312" w:eastAsia="仿宋_GB2312" w:cs="仿宋_GB2312"/>
          <w:b/>
          <w:bCs/>
          <w:sz w:val="28"/>
          <w:szCs w:val="28"/>
        </w:rPr>
      </w:pPr>
      <w:bookmarkStart w:id="83" w:name="_Toc256000082"/>
      <w:r>
        <w:rPr>
          <w:rFonts w:ascii="仿宋_GB2312" w:hAnsi="仿宋_GB2312" w:eastAsia="仿宋_GB2312" w:cs="仿宋_GB2312"/>
          <w:sz w:val="28"/>
          <w:szCs w:val="28"/>
        </w:rPr>
        <w:t>8.3.1保密要求</w:t>
      </w:r>
      <w:bookmarkEnd w:id="83"/>
    </w:p>
    <w:p>
      <w:pPr>
        <w:pStyle w:val="15"/>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投标人应严格遵守国家和采购人的保密制度，不得向第三方透露服务期间采购人的各种文件、数据、系统资料、系统操作等。若投标人造成采购人信息泄露，一经发现，采购人有权立即终止合同，若造成影响的，采购人可依法追究投标人法律责任。</w:t>
      </w:r>
    </w:p>
    <w:p>
      <w:pPr>
        <w:pStyle w:val="15"/>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投标人应承担相关技术支持人员的安全和保密管理责任，须签订保密协议和保密承诺书；明确技术支持人员工作范围和边界，重点防范设备和资料失窃、误操作导致的软硬件故障、敏感信息泄露、对信息系统的越权操作和恶意攻击等风险，严格按照采购人相关安全保密管理要求实施管理；不得将携带的电脑和移动存储介质接入专网；严格内外网管理，未经允许，不得擅自从内网拷贝并向外携带办公区数据、文档、程序等信息资源，确因工作需要，须经审批后方可实施相关操作。</w:t>
      </w:r>
    </w:p>
    <w:p>
      <w:pPr>
        <w:pStyle w:val="12"/>
        <w:spacing w:before="0" w:after="0" w:line="360" w:lineRule="auto"/>
        <w:ind w:left="0" w:right="0" w:firstLine="560" w:firstLineChars="200"/>
      </w:pPr>
      <w:r>
        <w:rPr>
          <w:rFonts w:ascii="仿宋_GB2312" w:hAnsi="仿宋_GB2312" w:eastAsia="仿宋_GB2312" w:cs="仿宋_GB2312"/>
          <w:sz w:val="28"/>
          <w:szCs w:val="28"/>
        </w:rPr>
        <w:t>投标人在本项目实施过程中如发生违反网络安全规定行为，造成数据失窃或丢失、敏感信息泄露、主要业务系统瘫痪等不良后果的，自采购人或采购人主管机关做出认定之日起三年内，税务系统各单位可以拒绝中标服务商参与税务系统政府采购活动。</w:t>
      </w:r>
    </w:p>
    <w:p>
      <w:pPr>
        <w:pStyle w:val="4"/>
        <w:keepNext w:val="0"/>
        <w:spacing w:before="0" w:after="0" w:line="360" w:lineRule="auto"/>
        <w:rPr>
          <w:rFonts w:ascii="仿宋_GB2312" w:hAnsi="仿宋_GB2312" w:eastAsia="仿宋_GB2312" w:cs="仿宋_GB2312"/>
          <w:b/>
          <w:bCs/>
          <w:sz w:val="28"/>
          <w:szCs w:val="28"/>
        </w:rPr>
      </w:pPr>
      <w:bookmarkStart w:id="84" w:name="_Toc256000083"/>
      <w:r>
        <w:rPr>
          <w:rFonts w:ascii="仿宋_GB2312" w:hAnsi="仿宋_GB2312" w:eastAsia="仿宋_GB2312" w:cs="仿宋_GB2312"/>
          <w:sz w:val="28"/>
          <w:szCs w:val="28"/>
        </w:rPr>
        <w:t>8.3.2报价要求</w:t>
      </w:r>
      <w:bookmarkEnd w:id="84"/>
    </w:p>
    <w:p>
      <w:pPr>
        <w:pStyle w:val="12"/>
        <w:spacing w:before="0" w:after="0" w:line="360" w:lineRule="auto"/>
        <w:ind w:left="0" w:right="0" w:firstLine="561"/>
      </w:pPr>
      <w:r>
        <w:rPr>
          <w:rFonts w:ascii="仿宋_GB2312" w:hAnsi="仿宋_GB2312" w:eastAsia="仿宋_GB2312" w:cs="仿宋_GB2312"/>
          <w:sz w:val="28"/>
          <w:szCs w:val="28"/>
        </w:rPr>
        <w:t>本项目投标价格为货物的价格及安装、集成、调试、保修、售后服务、包装和运输、保险等货物伴随服务的费用、所需缴纳的所有税费，采购人不承担由于本项目实施而产生的任何费用。</w:t>
      </w:r>
    </w:p>
    <w:p>
      <w:pPr>
        <w:pStyle w:val="4"/>
        <w:keepNext w:val="0"/>
        <w:spacing w:before="0" w:after="0" w:line="360" w:lineRule="auto"/>
        <w:rPr>
          <w:rFonts w:ascii="仿宋_GB2312" w:hAnsi="仿宋_GB2312" w:eastAsia="仿宋_GB2312" w:cs="仿宋_GB2312"/>
          <w:b/>
          <w:bCs/>
          <w:sz w:val="28"/>
          <w:szCs w:val="28"/>
        </w:rPr>
      </w:pPr>
      <w:bookmarkStart w:id="85" w:name="_Toc256000084"/>
      <w:r>
        <w:rPr>
          <w:rFonts w:ascii="仿宋_GB2312" w:hAnsi="仿宋_GB2312" w:eastAsia="仿宋_GB2312" w:cs="仿宋_GB2312"/>
          <w:sz w:val="28"/>
          <w:szCs w:val="28"/>
        </w:rPr>
        <w:t>8.3.3廉政相关要求</w:t>
      </w:r>
      <w:bookmarkEnd w:id="85"/>
    </w:p>
    <w:p>
      <w:pPr>
        <w:pStyle w:val="12"/>
        <w:spacing w:before="0" w:after="0" w:line="360" w:lineRule="auto"/>
        <w:ind w:left="0" w:right="0" w:firstLine="560"/>
      </w:pPr>
      <w:r>
        <w:rPr>
          <w:rFonts w:ascii="仿宋_GB2312" w:hAnsi="仿宋_GB2312" w:eastAsia="仿宋_GB2312" w:cs="仿宋_GB2312"/>
          <w:sz w:val="28"/>
          <w:szCs w:val="28"/>
        </w:rPr>
        <w:t>投标人在参与税务部门信息化项目工作过程中，需严格遵守法律法规、规范履行合同，积极协助税务部门开展廉政风险防控工作。</w:t>
      </w:r>
    </w:p>
    <w:p>
      <w:pPr>
        <w:pStyle w:val="12"/>
        <w:spacing w:before="0" w:after="0" w:line="360" w:lineRule="auto"/>
        <w:ind w:left="0" w:right="0" w:firstLine="560"/>
      </w:pPr>
      <w:r>
        <w:rPr>
          <w:rFonts w:ascii="仿宋_GB2312" w:hAnsi="仿宋_GB2312" w:eastAsia="仿宋_GB2312" w:cs="仿宋_GB2312"/>
          <w:sz w:val="28"/>
          <w:szCs w:val="28"/>
        </w:rPr>
        <w:t>（1）投标人在中标（成交）后需签署《税务信息化项目服务商廉洁承诺书》（附件1），并提交至采购人。</w:t>
      </w:r>
    </w:p>
    <w:p>
      <w:pPr>
        <w:pStyle w:val="14"/>
        <w:spacing w:before="0" w:after="0" w:line="360" w:lineRule="auto"/>
        <w:ind w:left="0" w:firstLine="560"/>
        <w:rPr>
          <w:rFonts w:ascii="Times New Roman" w:hAnsi="Times New Roman" w:eastAsia="Times New Roman" w:cs="Times New Roman"/>
        </w:rPr>
      </w:pPr>
      <w:r>
        <w:rPr>
          <w:rFonts w:ascii="仿宋_GB2312" w:hAnsi="仿宋_GB2312" w:eastAsia="仿宋_GB2312" w:cs="仿宋_GB2312"/>
          <w:sz w:val="28"/>
          <w:szCs w:val="28"/>
        </w:rPr>
        <w:t>（2）项目终验前，服务商需向采购人提交《税务信息化项目服务商廉政反馈书》（附件2）。</w:t>
      </w:r>
    </w:p>
    <w:p>
      <w:pPr>
        <w:pStyle w:val="14"/>
        <w:spacing w:before="0" w:after="0" w:line="360" w:lineRule="auto"/>
        <w:rPr>
          <w:rFonts w:ascii="仿宋_GB2312" w:hAnsi="仿宋_GB2312" w:eastAsia="仿宋_GB2312" w:cs="仿宋_GB2312"/>
          <w:sz w:val="28"/>
          <w:szCs w:val="28"/>
        </w:rPr>
      </w:pPr>
      <w:r>
        <w:rPr>
          <w:rFonts w:ascii="仿宋_GB2312" w:hAnsi="仿宋_GB2312" w:eastAsia="仿宋_GB2312" w:cs="仿宋_GB2312"/>
          <w:sz w:val="28"/>
          <w:szCs w:val="28"/>
        </w:rPr>
        <w:t> </w:t>
      </w:r>
    </w:p>
    <w:p>
      <w:pPr>
        <w:pStyle w:val="14"/>
        <w:spacing w:before="0" w:after="0" w:line="360" w:lineRule="auto"/>
        <w:rPr>
          <w:rFonts w:ascii="仿宋_GB2312" w:hAnsi="仿宋_GB2312" w:eastAsia="仿宋_GB2312" w:cs="仿宋_GB2312"/>
          <w:sz w:val="28"/>
          <w:szCs w:val="28"/>
        </w:rPr>
      </w:pPr>
    </w:p>
    <w:p>
      <w:pPr>
        <w:pStyle w:val="14"/>
        <w:spacing w:before="0" w:after="0" w:line="360" w:lineRule="auto"/>
        <w:rPr>
          <w:rFonts w:ascii="仿宋_GB2312" w:hAnsi="仿宋_GB2312" w:eastAsia="仿宋_GB2312" w:cs="仿宋_GB2312"/>
          <w:sz w:val="28"/>
          <w:szCs w:val="28"/>
        </w:rPr>
      </w:pPr>
    </w:p>
    <w:p>
      <w:pPr>
        <w:pStyle w:val="14"/>
        <w:spacing w:before="0" w:after="0" w:line="360" w:lineRule="auto"/>
        <w:rPr>
          <w:rFonts w:ascii="仿宋_GB2312" w:hAnsi="仿宋_GB2312" w:eastAsia="仿宋_GB2312" w:cs="仿宋_GB2312"/>
          <w:sz w:val="28"/>
          <w:szCs w:val="28"/>
        </w:rPr>
      </w:pPr>
    </w:p>
    <w:p>
      <w:pPr>
        <w:pStyle w:val="14"/>
        <w:spacing w:before="0" w:after="0" w:line="360" w:lineRule="auto"/>
        <w:rPr>
          <w:rFonts w:ascii="仿宋_GB2312" w:hAnsi="仿宋_GB2312" w:eastAsia="仿宋_GB2312" w:cs="仿宋_GB2312"/>
          <w:sz w:val="28"/>
          <w:szCs w:val="28"/>
        </w:rPr>
      </w:pPr>
    </w:p>
    <w:p>
      <w:pPr>
        <w:pStyle w:val="14"/>
        <w:spacing w:before="0" w:after="0" w:line="360" w:lineRule="auto"/>
        <w:rPr>
          <w:rFonts w:ascii="仿宋_GB2312" w:hAnsi="仿宋_GB2312" w:eastAsia="仿宋_GB2312" w:cs="仿宋_GB2312"/>
          <w:sz w:val="28"/>
          <w:szCs w:val="28"/>
        </w:rPr>
      </w:pPr>
    </w:p>
    <w:p>
      <w:pPr>
        <w:pStyle w:val="14"/>
        <w:spacing w:before="0" w:after="0" w:line="360" w:lineRule="auto"/>
        <w:rPr>
          <w:rFonts w:ascii="仿宋_GB2312" w:hAnsi="仿宋_GB2312" w:eastAsia="仿宋_GB2312" w:cs="仿宋_GB2312"/>
          <w:sz w:val="28"/>
          <w:szCs w:val="28"/>
        </w:rPr>
      </w:pPr>
    </w:p>
    <w:p>
      <w:pPr>
        <w:pStyle w:val="14"/>
        <w:spacing w:before="0" w:after="0" w:line="360" w:lineRule="auto"/>
        <w:rPr>
          <w:rFonts w:ascii="仿宋_GB2312" w:hAnsi="仿宋_GB2312" w:eastAsia="仿宋_GB2312" w:cs="仿宋_GB2312"/>
          <w:sz w:val="28"/>
          <w:szCs w:val="28"/>
        </w:rPr>
      </w:pPr>
    </w:p>
    <w:p>
      <w:pPr>
        <w:pStyle w:val="14"/>
        <w:spacing w:before="0" w:after="0" w:line="360" w:lineRule="auto"/>
        <w:rPr>
          <w:rFonts w:ascii="仿宋_GB2312" w:hAnsi="仿宋_GB2312" w:eastAsia="仿宋_GB2312" w:cs="仿宋_GB2312"/>
          <w:sz w:val="28"/>
          <w:szCs w:val="28"/>
        </w:rPr>
      </w:pPr>
    </w:p>
    <w:p>
      <w:pPr>
        <w:pStyle w:val="14"/>
        <w:spacing w:before="0" w:after="0" w:line="360" w:lineRule="auto"/>
        <w:rPr>
          <w:rFonts w:ascii="仿宋_GB2312" w:hAnsi="仿宋_GB2312" w:eastAsia="仿宋_GB2312" w:cs="仿宋_GB2312"/>
          <w:sz w:val="28"/>
          <w:szCs w:val="28"/>
        </w:rPr>
      </w:pPr>
    </w:p>
    <w:p>
      <w:pPr>
        <w:pStyle w:val="14"/>
        <w:spacing w:before="0" w:after="0" w:line="360" w:lineRule="auto"/>
        <w:rPr>
          <w:rFonts w:ascii="仿宋_GB2312" w:hAnsi="仿宋_GB2312" w:eastAsia="仿宋_GB2312" w:cs="仿宋_GB2312"/>
          <w:sz w:val="28"/>
          <w:szCs w:val="28"/>
        </w:rPr>
      </w:pPr>
    </w:p>
    <w:p>
      <w:pPr>
        <w:pStyle w:val="14"/>
        <w:spacing w:before="0" w:after="0" w:line="360" w:lineRule="auto"/>
        <w:rPr>
          <w:rFonts w:ascii="仿宋_GB2312" w:hAnsi="仿宋_GB2312" w:eastAsia="仿宋_GB2312" w:cs="仿宋_GB2312"/>
          <w:sz w:val="28"/>
          <w:szCs w:val="28"/>
        </w:rPr>
      </w:pPr>
    </w:p>
    <w:p>
      <w:pPr>
        <w:pStyle w:val="14"/>
        <w:spacing w:before="0" w:after="0" w:line="360" w:lineRule="auto"/>
        <w:rPr>
          <w:rFonts w:ascii="仿宋_GB2312" w:hAnsi="仿宋_GB2312" w:eastAsia="仿宋_GB2312" w:cs="仿宋_GB2312"/>
          <w:sz w:val="28"/>
          <w:szCs w:val="28"/>
        </w:rPr>
      </w:pPr>
    </w:p>
    <w:p>
      <w:pPr>
        <w:pStyle w:val="14"/>
        <w:spacing w:before="0" w:after="0" w:line="360" w:lineRule="auto"/>
        <w:rPr>
          <w:rFonts w:ascii="仿宋_GB2312" w:hAnsi="仿宋_GB2312" w:eastAsia="仿宋_GB2312" w:cs="仿宋_GB2312"/>
          <w:sz w:val="28"/>
          <w:szCs w:val="28"/>
        </w:rPr>
      </w:pPr>
    </w:p>
    <w:p>
      <w:pPr>
        <w:pStyle w:val="14"/>
        <w:spacing w:before="0" w:after="0" w:line="360" w:lineRule="auto"/>
        <w:rPr>
          <w:rFonts w:ascii="仿宋_GB2312" w:hAnsi="仿宋_GB2312" w:eastAsia="仿宋_GB2312" w:cs="仿宋_GB2312"/>
          <w:sz w:val="28"/>
          <w:szCs w:val="28"/>
        </w:rPr>
      </w:pPr>
    </w:p>
    <w:p>
      <w:pPr>
        <w:pStyle w:val="14"/>
        <w:spacing w:before="0" w:after="0" w:line="360" w:lineRule="auto"/>
        <w:rPr>
          <w:rFonts w:ascii="仿宋_GB2312" w:hAnsi="仿宋_GB2312" w:eastAsia="仿宋_GB2312" w:cs="仿宋_GB2312"/>
          <w:sz w:val="28"/>
          <w:szCs w:val="28"/>
        </w:rPr>
      </w:pPr>
    </w:p>
    <w:p>
      <w:pPr>
        <w:pStyle w:val="14"/>
        <w:spacing w:before="0" w:after="0" w:line="360" w:lineRule="auto"/>
        <w:rPr>
          <w:rFonts w:ascii="仿宋_GB2312" w:hAnsi="仿宋_GB2312" w:eastAsia="仿宋_GB2312" w:cs="仿宋_GB2312"/>
          <w:sz w:val="28"/>
          <w:szCs w:val="28"/>
        </w:rPr>
      </w:pPr>
    </w:p>
    <w:p>
      <w:pPr>
        <w:pStyle w:val="14"/>
        <w:spacing w:before="0" w:after="0" w:line="360" w:lineRule="auto"/>
        <w:rPr>
          <w:rFonts w:ascii="仿宋_GB2312" w:hAnsi="仿宋_GB2312" w:eastAsia="仿宋_GB2312" w:cs="仿宋_GB2312"/>
          <w:sz w:val="28"/>
          <w:szCs w:val="28"/>
        </w:rPr>
      </w:pPr>
    </w:p>
    <w:p>
      <w:pPr>
        <w:pStyle w:val="14"/>
        <w:spacing w:before="0" w:after="0" w:line="360" w:lineRule="auto"/>
        <w:rPr>
          <w:rFonts w:ascii="仿宋_GB2312" w:hAnsi="仿宋_GB2312" w:eastAsia="仿宋_GB2312" w:cs="仿宋_GB2312"/>
          <w:sz w:val="28"/>
          <w:szCs w:val="28"/>
        </w:rPr>
      </w:pPr>
    </w:p>
    <w:p>
      <w:pPr>
        <w:pStyle w:val="14"/>
        <w:spacing w:before="0" w:after="0" w:line="360" w:lineRule="auto"/>
        <w:rPr>
          <w:rFonts w:ascii="仿宋_GB2312" w:hAnsi="仿宋_GB2312" w:eastAsia="仿宋_GB2312" w:cs="仿宋_GB2312"/>
          <w:sz w:val="28"/>
          <w:szCs w:val="28"/>
        </w:rPr>
      </w:pPr>
    </w:p>
    <w:p>
      <w:pPr>
        <w:pStyle w:val="14"/>
        <w:spacing w:before="0" w:after="0" w:line="360" w:lineRule="auto"/>
        <w:rPr>
          <w:rFonts w:ascii="仿宋_GB2312" w:hAnsi="仿宋_GB2312" w:eastAsia="仿宋_GB2312" w:cs="仿宋_GB2312"/>
          <w:sz w:val="28"/>
          <w:szCs w:val="28"/>
        </w:rPr>
      </w:pPr>
    </w:p>
    <w:p>
      <w:pPr>
        <w:pStyle w:val="14"/>
        <w:spacing w:before="0" w:after="0" w:line="360" w:lineRule="auto"/>
        <w:rPr>
          <w:rFonts w:ascii="仿宋_GB2312" w:hAnsi="仿宋_GB2312" w:eastAsia="仿宋_GB2312" w:cs="仿宋_GB2312"/>
          <w:sz w:val="28"/>
          <w:szCs w:val="28"/>
        </w:rPr>
      </w:pPr>
    </w:p>
    <w:p>
      <w:pPr>
        <w:pStyle w:val="14"/>
        <w:spacing w:before="0" w:after="0" w:line="360" w:lineRule="auto"/>
        <w:rPr>
          <w:rFonts w:ascii="仿宋_GB2312" w:hAnsi="仿宋_GB2312" w:eastAsia="仿宋_GB2312" w:cs="仿宋_GB2312"/>
          <w:sz w:val="28"/>
          <w:szCs w:val="28"/>
        </w:rPr>
      </w:pPr>
    </w:p>
    <w:p>
      <w:pPr>
        <w:pStyle w:val="2"/>
        <w:keepNext w:val="0"/>
        <w:spacing w:before="0" w:after="0" w:line="360" w:lineRule="auto"/>
        <w:rPr>
          <w:rFonts w:ascii="Arial" w:hAnsi="Arial" w:eastAsia="Arial" w:cs="Arial"/>
          <w:b/>
          <w:bCs/>
          <w:sz w:val="32"/>
          <w:szCs w:val="32"/>
        </w:rPr>
      </w:pPr>
      <w:bookmarkStart w:id="86" w:name="_Toc256000085"/>
      <w:r>
        <w:rPr>
          <w:rFonts w:ascii="仿宋_GB2312" w:hAnsi="仿宋_GB2312" w:eastAsia="仿宋_GB2312" w:cs="仿宋_GB2312"/>
          <w:kern w:val="36"/>
        </w:rPr>
        <w:t>附件1 税务信息化服务商廉洁承诺书</w:t>
      </w:r>
      <w:bookmarkEnd w:id="86"/>
    </w:p>
    <w:p>
      <w:pPr>
        <w:pStyle w:val="12"/>
        <w:spacing w:before="0" w:after="0" w:line="360" w:lineRule="auto"/>
        <w:ind w:left="0" w:right="0"/>
      </w:pPr>
      <w:r>
        <w:rPr>
          <w:rFonts w:ascii="仿宋" w:hAnsi="仿宋" w:eastAsia="仿宋" w:cs="仿宋"/>
          <w:b/>
          <w:bCs/>
          <w:sz w:val="28"/>
          <w:szCs w:val="28"/>
        </w:rPr>
        <w:t> </w:t>
      </w:r>
    </w:p>
    <w:p>
      <w:pPr>
        <w:pStyle w:val="12"/>
        <w:spacing w:before="0" w:after="0" w:line="360" w:lineRule="auto"/>
        <w:ind w:left="0" w:right="0" w:firstLine="2380"/>
        <w:jc w:val="both"/>
      </w:pPr>
      <w:r>
        <w:rPr>
          <w:rFonts w:ascii="仿宋" w:hAnsi="仿宋" w:eastAsia="仿宋" w:cs="仿宋"/>
          <w:sz w:val="28"/>
          <w:szCs w:val="28"/>
        </w:rPr>
        <w:t>税务信息化服务商廉洁承诺书</w:t>
      </w:r>
    </w:p>
    <w:p>
      <w:pPr>
        <w:pStyle w:val="12"/>
        <w:spacing w:before="0" w:after="0" w:line="360" w:lineRule="auto"/>
        <w:ind w:left="0" w:right="0" w:firstLine="560"/>
      </w:pPr>
      <w:r>
        <w:rPr>
          <w:rFonts w:ascii="仿宋" w:hAnsi="仿宋" w:eastAsia="仿宋" w:cs="仿宋"/>
          <w:sz w:val="28"/>
          <w:szCs w:val="28"/>
        </w:rPr>
        <w:t> </w:t>
      </w:r>
    </w:p>
    <w:p>
      <w:pPr>
        <w:pStyle w:val="12"/>
        <w:spacing w:before="0" w:after="0" w:line="360" w:lineRule="auto"/>
        <w:ind w:left="0" w:right="0" w:firstLine="560"/>
      </w:pPr>
      <w:r>
        <w:rPr>
          <w:rFonts w:ascii="仿宋" w:hAnsi="仿宋" w:eastAsia="仿宋" w:cs="仿宋"/>
          <w:sz w:val="28"/>
          <w:szCs w:val="28"/>
        </w:rPr>
        <w:t>为深入贯彻落实党中央关于全面从严治党的决策部署，进一步加强税务信息化项目合作中的廉政建设，防范廉政风险发生，确保项目公开、公平、公正推进，我司郑重承诺如下：</w:t>
      </w:r>
    </w:p>
    <w:p>
      <w:pPr>
        <w:pStyle w:val="12"/>
        <w:spacing w:before="0" w:after="0" w:line="360" w:lineRule="auto"/>
        <w:ind w:left="0" w:right="0" w:firstLine="560"/>
      </w:pPr>
      <w:r>
        <w:rPr>
          <w:rFonts w:ascii="仿宋" w:hAnsi="仿宋" w:eastAsia="仿宋" w:cs="仿宋"/>
          <w:sz w:val="28"/>
          <w:szCs w:val="28"/>
        </w:rPr>
        <w:t>一、合法合规经营。严格遵守国家法律法规及税务部门的相关规定，坚持廉洁从业、诚信经营的原则。在合作过程中不以任何形式进行利益输送，维护良好的政商关系。</w:t>
      </w:r>
    </w:p>
    <w:p>
      <w:pPr>
        <w:pStyle w:val="12"/>
        <w:spacing w:before="0" w:after="0" w:line="360" w:lineRule="auto"/>
        <w:ind w:left="0" w:right="0" w:firstLine="560"/>
      </w:pPr>
      <w:r>
        <w:rPr>
          <w:rFonts w:ascii="仿宋" w:hAnsi="仿宋" w:eastAsia="仿宋" w:cs="仿宋"/>
          <w:sz w:val="28"/>
          <w:szCs w:val="28"/>
        </w:rPr>
        <w:t>二、杜绝商业贿赂。加强内部管理，我司及我司员工均不对甲方工作人员实施以下行为：</w:t>
      </w:r>
    </w:p>
    <w:p>
      <w:pPr>
        <w:pStyle w:val="12"/>
        <w:spacing w:before="0" w:after="0" w:line="360" w:lineRule="auto"/>
        <w:ind w:left="0" w:right="0" w:firstLine="560"/>
      </w:pPr>
      <w:r>
        <w:rPr>
          <w:rFonts w:ascii="仿宋" w:hAnsi="仿宋" w:eastAsia="仿宋" w:cs="仿宋"/>
          <w:sz w:val="28"/>
          <w:szCs w:val="28"/>
        </w:rPr>
        <w:t>（一）以各种形式和名义提供礼品、礼金、电子红包、支付凭证、商业预付卡、名贵特产、有价证券、股权、其他金融产品等财物。</w:t>
      </w:r>
    </w:p>
    <w:p>
      <w:pPr>
        <w:pStyle w:val="12"/>
        <w:spacing w:before="0" w:after="0" w:line="360" w:lineRule="auto"/>
        <w:ind w:left="0" w:right="0" w:firstLine="560"/>
      </w:pPr>
      <w:r>
        <w:rPr>
          <w:rFonts w:ascii="仿宋" w:hAnsi="仿宋" w:eastAsia="仿宋" w:cs="仿宋"/>
          <w:sz w:val="28"/>
          <w:szCs w:val="28"/>
        </w:rPr>
        <w:t>（二）以各种形式和名义提供宴请、旅游、健身、娱乐、私人会所等活动安排；代付加班餐费、打车费等。</w:t>
      </w:r>
    </w:p>
    <w:p>
      <w:pPr>
        <w:pStyle w:val="12"/>
        <w:spacing w:before="0" w:after="0" w:line="360" w:lineRule="auto"/>
        <w:ind w:left="0" w:right="0" w:firstLine="560"/>
      </w:pPr>
      <w:r>
        <w:rPr>
          <w:rFonts w:ascii="仿宋" w:hAnsi="仿宋" w:eastAsia="仿宋" w:cs="仿宋"/>
          <w:sz w:val="28"/>
          <w:szCs w:val="28"/>
        </w:rPr>
        <w:t>（三）以讲课费、咨询费等名义，提供或变相提供报酬。</w:t>
      </w:r>
    </w:p>
    <w:p>
      <w:pPr>
        <w:pStyle w:val="12"/>
        <w:spacing w:before="0" w:after="0" w:line="360" w:lineRule="auto"/>
        <w:ind w:left="0" w:right="0" w:firstLine="560"/>
      </w:pPr>
      <w:r>
        <w:rPr>
          <w:rFonts w:ascii="仿宋" w:hAnsi="仿宋" w:eastAsia="仿宋" w:cs="仿宋"/>
          <w:sz w:val="28"/>
          <w:szCs w:val="28"/>
        </w:rPr>
        <w:t>（四）借款、借房、借车，报销应由个人负担的费用。</w:t>
      </w:r>
    </w:p>
    <w:p>
      <w:pPr>
        <w:pStyle w:val="12"/>
        <w:spacing w:before="0" w:after="0" w:line="360" w:lineRule="auto"/>
        <w:ind w:left="0" w:right="0" w:firstLine="560"/>
      </w:pPr>
      <w:r>
        <w:rPr>
          <w:rFonts w:ascii="仿宋" w:hAnsi="仿宋" w:eastAsia="仿宋" w:cs="仿宋"/>
          <w:sz w:val="28"/>
          <w:szCs w:val="28"/>
        </w:rPr>
        <w:t>（五）以无偿、象征性地收取费用等方式提供家政、司机等服务劳务。</w:t>
      </w:r>
    </w:p>
    <w:p>
      <w:pPr>
        <w:pStyle w:val="12"/>
        <w:spacing w:before="0" w:after="0" w:line="360" w:lineRule="auto"/>
        <w:ind w:left="0" w:right="0" w:firstLine="560"/>
      </w:pPr>
      <w:r>
        <w:rPr>
          <w:rFonts w:ascii="仿宋" w:hAnsi="仿宋" w:eastAsia="仿宋" w:cs="仿宋"/>
          <w:sz w:val="28"/>
          <w:szCs w:val="28"/>
        </w:rPr>
        <w:t>（六）其他通过任何形式行贿或输送利益的行为。</w:t>
      </w:r>
    </w:p>
    <w:p>
      <w:pPr>
        <w:pStyle w:val="12"/>
        <w:spacing w:before="0" w:after="0" w:line="360" w:lineRule="auto"/>
        <w:ind w:left="0" w:right="0" w:firstLine="560"/>
      </w:pPr>
      <w:r>
        <w:rPr>
          <w:rFonts w:ascii="仿宋" w:hAnsi="仿宋" w:eastAsia="仿宋" w:cs="仿宋"/>
          <w:sz w:val="28"/>
          <w:szCs w:val="28"/>
        </w:rPr>
        <w:t>三、规范经营活动。严格按照合同约定履行义务，保证项目质量，按时完成建设任务；在合作过程中不以任何借口拖延工期、虚报成本或谋取私利。</w:t>
      </w:r>
    </w:p>
    <w:p>
      <w:pPr>
        <w:pStyle w:val="12"/>
        <w:spacing w:before="0" w:after="0" w:line="360" w:lineRule="auto"/>
        <w:ind w:left="0" w:right="0" w:firstLine="560"/>
      </w:pPr>
      <w:r>
        <w:rPr>
          <w:rFonts w:ascii="仿宋" w:hAnsi="仿宋" w:eastAsia="仿宋" w:cs="仿宋"/>
          <w:sz w:val="28"/>
          <w:szCs w:val="28"/>
        </w:rPr>
        <w:t>四、公开透明合作。我司承诺在项目实施过程中保持公开透明，主动接受税务部门及纪检监察机构的全程监督，并积极配合任何有关廉洁从业的调查工作。</w:t>
      </w:r>
    </w:p>
    <w:p>
      <w:pPr>
        <w:pStyle w:val="12"/>
        <w:spacing w:before="0" w:after="0" w:line="360" w:lineRule="auto"/>
        <w:ind w:left="0" w:right="0" w:firstLine="560"/>
      </w:pPr>
      <w:r>
        <w:rPr>
          <w:rFonts w:ascii="仿宋" w:hAnsi="仿宋" w:eastAsia="仿宋" w:cs="仿宋"/>
          <w:sz w:val="28"/>
          <w:szCs w:val="28"/>
        </w:rPr>
        <w:t>五、严格内部管理。加强企业内部廉洁教育，确保员工知晓并遵守相关法律法规及廉洁要求；加强项目实施全过程廉洁监督；对于违反廉洁承诺的员工，将严肃处理，并承担相应责任。</w:t>
      </w:r>
    </w:p>
    <w:p>
      <w:pPr>
        <w:pStyle w:val="12"/>
        <w:spacing w:before="0" w:after="0" w:line="360" w:lineRule="auto"/>
        <w:ind w:left="0" w:right="0" w:firstLine="560"/>
      </w:pPr>
      <w:r>
        <w:rPr>
          <w:rFonts w:ascii="仿宋" w:hAnsi="仿宋" w:eastAsia="仿宋" w:cs="仿宋"/>
          <w:sz w:val="28"/>
          <w:szCs w:val="28"/>
        </w:rPr>
        <w:t>六、积极参与监督。在税务信息化项目实施过程中，如发现任何违纪违法行为，将如实反馈问题和意见。</w:t>
      </w:r>
    </w:p>
    <w:p>
      <w:pPr>
        <w:pStyle w:val="12"/>
        <w:spacing w:before="0" w:after="0" w:line="360" w:lineRule="auto"/>
        <w:ind w:left="0" w:right="0" w:firstLine="560"/>
      </w:pPr>
      <w:r>
        <w:rPr>
          <w:rFonts w:ascii="仿宋" w:hAnsi="仿宋" w:eastAsia="仿宋" w:cs="仿宋"/>
          <w:sz w:val="28"/>
          <w:szCs w:val="28"/>
        </w:rPr>
        <w:t>    </w:t>
      </w:r>
    </w:p>
    <w:p>
      <w:pPr>
        <w:pStyle w:val="12"/>
        <w:spacing w:before="0" w:after="0" w:line="360" w:lineRule="auto"/>
        <w:ind w:left="0" w:right="0" w:firstLine="560"/>
      </w:pPr>
      <w:r>
        <w:rPr>
          <w:rFonts w:ascii="仿宋" w:hAnsi="仿宋" w:eastAsia="仿宋" w:cs="仿宋"/>
          <w:sz w:val="28"/>
          <w:szCs w:val="28"/>
        </w:rPr>
        <w:t>承诺单位（盖章）：_________________________</w:t>
      </w:r>
    </w:p>
    <w:p>
      <w:pPr>
        <w:pStyle w:val="12"/>
        <w:spacing w:before="0" w:after="0" w:line="360" w:lineRule="auto"/>
        <w:ind w:left="0" w:right="0" w:firstLine="560"/>
      </w:pPr>
      <w:r>
        <w:rPr>
          <w:rFonts w:ascii="仿宋" w:hAnsi="仿宋" w:eastAsia="仿宋" w:cs="仿宋"/>
          <w:sz w:val="28"/>
          <w:szCs w:val="28"/>
        </w:rPr>
        <w:t>法定代表人或授权代表签字：________________</w:t>
      </w:r>
    </w:p>
    <w:p>
      <w:pPr>
        <w:pStyle w:val="12"/>
        <w:spacing w:before="0" w:after="0" w:line="360" w:lineRule="auto"/>
        <w:ind w:left="0" w:right="0" w:firstLine="560"/>
      </w:pPr>
      <w:r>
        <w:rPr>
          <w:rFonts w:ascii="仿宋" w:hAnsi="仿宋" w:eastAsia="仿宋" w:cs="仿宋"/>
          <w:sz w:val="28"/>
          <w:szCs w:val="28"/>
        </w:rPr>
        <w:t>日期：XX年XX月XX日</w:t>
      </w:r>
    </w:p>
    <w:p>
      <w:pPr>
        <w:pStyle w:val="12"/>
        <w:spacing w:before="0" w:after="0" w:line="360" w:lineRule="auto"/>
        <w:ind w:left="0" w:right="0" w:firstLine="560"/>
      </w:pPr>
      <w:r>
        <w:rPr>
          <w:rFonts w:ascii="仿宋" w:hAnsi="仿宋" w:eastAsia="仿宋" w:cs="仿宋"/>
          <w:sz w:val="28"/>
          <w:szCs w:val="28"/>
        </w:rPr>
        <w:t> </w:t>
      </w:r>
    </w:p>
    <w:p>
      <w:pPr>
        <w:pStyle w:val="12"/>
        <w:spacing w:before="0" w:after="0" w:line="360" w:lineRule="auto"/>
        <w:ind w:left="0" w:right="0"/>
      </w:pPr>
      <w:r>
        <w:rPr>
          <w:rFonts w:ascii="仿宋" w:hAnsi="仿宋" w:eastAsia="仿宋" w:cs="仿宋"/>
          <w:sz w:val="28"/>
          <w:szCs w:val="28"/>
        </w:rPr>
        <w:t> </w:t>
      </w:r>
    </w:p>
    <w:p>
      <w:pPr>
        <w:pStyle w:val="12"/>
        <w:spacing w:before="0" w:after="0" w:line="360" w:lineRule="auto"/>
        <w:ind w:left="0" w:right="0"/>
        <w:rPr>
          <w:rFonts w:ascii="仿宋" w:hAnsi="仿宋" w:eastAsia="仿宋" w:cs="仿宋"/>
          <w:sz w:val="28"/>
          <w:szCs w:val="28"/>
        </w:rPr>
      </w:pPr>
      <w:r>
        <w:rPr>
          <w:rFonts w:ascii="仿宋" w:hAnsi="仿宋" w:eastAsia="仿宋" w:cs="仿宋"/>
          <w:sz w:val="28"/>
          <w:szCs w:val="28"/>
        </w:rPr>
        <w:t>备注：本承诺书一式两份，一份由承诺单位留存，另一份交税务部门备案。</w:t>
      </w:r>
    </w:p>
    <w:p>
      <w:pPr>
        <w:pStyle w:val="12"/>
        <w:spacing w:before="0" w:after="0" w:line="360" w:lineRule="auto"/>
        <w:ind w:left="0" w:right="0"/>
        <w:rPr>
          <w:rFonts w:ascii="仿宋" w:hAnsi="仿宋" w:eastAsia="仿宋" w:cs="仿宋"/>
          <w:sz w:val="28"/>
          <w:szCs w:val="28"/>
        </w:rPr>
      </w:pPr>
    </w:p>
    <w:p>
      <w:pPr>
        <w:pStyle w:val="12"/>
        <w:spacing w:before="0" w:after="0" w:line="360" w:lineRule="auto"/>
        <w:ind w:left="0" w:right="0"/>
        <w:rPr>
          <w:rFonts w:ascii="仿宋" w:hAnsi="仿宋" w:eastAsia="仿宋" w:cs="仿宋"/>
          <w:sz w:val="28"/>
          <w:szCs w:val="28"/>
        </w:rPr>
      </w:pPr>
    </w:p>
    <w:p>
      <w:pPr>
        <w:pStyle w:val="12"/>
        <w:spacing w:before="0" w:after="0" w:line="360" w:lineRule="auto"/>
        <w:ind w:left="0" w:right="0"/>
        <w:rPr>
          <w:rFonts w:ascii="仿宋" w:hAnsi="仿宋" w:eastAsia="仿宋" w:cs="仿宋"/>
          <w:sz w:val="28"/>
          <w:szCs w:val="28"/>
        </w:rPr>
      </w:pPr>
    </w:p>
    <w:p>
      <w:pPr>
        <w:pStyle w:val="12"/>
        <w:spacing w:before="0" w:after="0" w:line="360" w:lineRule="auto"/>
        <w:ind w:left="0" w:right="0"/>
        <w:rPr>
          <w:rFonts w:ascii="仿宋" w:hAnsi="仿宋" w:eastAsia="仿宋" w:cs="仿宋"/>
          <w:sz w:val="28"/>
          <w:szCs w:val="28"/>
        </w:rPr>
      </w:pPr>
    </w:p>
    <w:p>
      <w:pPr>
        <w:pStyle w:val="12"/>
        <w:spacing w:before="0" w:after="0" w:line="360" w:lineRule="auto"/>
        <w:ind w:left="0" w:right="0"/>
        <w:rPr>
          <w:rFonts w:ascii="仿宋" w:hAnsi="仿宋" w:eastAsia="仿宋" w:cs="仿宋"/>
          <w:sz w:val="28"/>
          <w:szCs w:val="28"/>
        </w:rPr>
      </w:pPr>
    </w:p>
    <w:p>
      <w:pPr>
        <w:pStyle w:val="12"/>
        <w:spacing w:before="0" w:after="0" w:line="360" w:lineRule="auto"/>
        <w:ind w:left="0" w:right="0"/>
        <w:rPr>
          <w:rFonts w:ascii="仿宋" w:hAnsi="仿宋" w:eastAsia="仿宋" w:cs="仿宋"/>
          <w:sz w:val="28"/>
          <w:szCs w:val="28"/>
        </w:rPr>
      </w:pPr>
    </w:p>
    <w:p>
      <w:pPr>
        <w:pStyle w:val="12"/>
        <w:spacing w:before="0" w:after="0" w:line="360" w:lineRule="auto"/>
        <w:ind w:left="0" w:right="0"/>
        <w:rPr>
          <w:rFonts w:ascii="仿宋" w:hAnsi="仿宋" w:eastAsia="仿宋" w:cs="仿宋"/>
          <w:sz w:val="28"/>
          <w:szCs w:val="28"/>
        </w:rPr>
      </w:pPr>
    </w:p>
    <w:p>
      <w:pPr>
        <w:pStyle w:val="12"/>
        <w:spacing w:before="0" w:after="0" w:line="360" w:lineRule="auto"/>
        <w:ind w:left="0" w:right="0"/>
        <w:rPr>
          <w:rFonts w:ascii="仿宋" w:hAnsi="仿宋" w:eastAsia="仿宋" w:cs="仿宋"/>
          <w:sz w:val="28"/>
          <w:szCs w:val="28"/>
        </w:rPr>
      </w:pPr>
    </w:p>
    <w:p>
      <w:pPr>
        <w:pStyle w:val="12"/>
        <w:spacing w:before="0" w:after="0" w:line="360" w:lineRule="auto"/>
        <w:ind w:left="0" w:right="0"/>
        <w:rPr>
          <w:rFonts w:ascii="仿宋" w:hAnsi="仿宋" w:eastAsia="仿宋" w:cs="仿宋"/>
          <w:sz w:val="28"/>
          <w:szCs w:val="28"/>
        </w:rPr>
      </w:pPr>
    </w:p>
    <w:p>
      <w:pPr>
        <w:pStyle w:val="2"/>
        <w:keepNext w:val="0"/>
        <w:spacing w:before="0" w:after="0" w:line="360" w:lineRule="auto"/>
        <w:rPr>
          <w:rFonts w:ascii="Arial" w:hAnsi="Arial" w:eastAsia="Arial" w:cs="Arial"/>
          <w:b/>
          <w:bCs/>
          <w:sz w:val="32"/>
          <w:szCs w:val="32"/>
        </w:rPr>
      </w:pPr>
      <w:bookmarkStart w:id="87" w:name="_Toc256000086"/>
      <w:r>
        <w:rPr>
          <w:rFonts w:ascii="仿宋_GB2312" w:hAnsi="仿宋_GB2312" w:eastAsia="仿宋_GB2312" w:cs="仿宋_GB2312"/>
          <w:kern w:val="36"/>
        </w:rPr>
        <w:t>附件2税务信息化廉政情况反馈书</w:t>
      </w:r>
      <w:bookmarkEnd w:id="87"/>
    </w:p>
    <w:p>
      <w:pPr>
        <w:keepNext w:val="0"/>
        <w:spacing w:before="0" w:after="0" w:line="360" w:lineRule="auto"/>
        <w:outlineLvl w:val="9"/>
        <w:rPr>
          <w:rFonts w:ascii="Arial" w:hAnsi="Arial" w:eastAsia="Arial" w:cs="Arial"/>
          <w:b/>
          <w:bCs/>
          <w:sz w:val="32"/>
          <w:szCs w:val="32"/>
        </w:rPr>
      </w:pPr>
      <w:r>
        <w:rPr>
          <w:rFonts w:ascii="仿宋_GB2312" w:hAnsi="仿宋_GB2312" w:eastAsia="仿宋_GB2312" w:cs="仿宋_GB2312"/>
          <w:kern w:val="36"/>
        </w:rPr>
        <w:t>     </w:t>
      </w:r>
    </w:p>
    <w:p>
      <w:pPr>
        <w:keepNext w:val="0"/>
        <w:spacing w:before="0" w:after="0" w:line="360" w:lineRule="auto"/>
        <w:jc w:val="center"/>
        <w:outlineLvl w:val="9"/>
        <w:rPr>
          <w:rFonts w:ascii="Arial" w:hAnsi="Arial" w:eastAsia="Arial" w:cs="Arial"/>
          <w:b/>
          <w:bCs/>
          <w:sz w:val="32"/>
          <w:szCs w:val="32"/>
        </w:rPr>
      </w:pPr>
      <w:bookmarkStart w:id="88" w:name="_Toc256000088"/>
      <w:r>
        <w:rPr>
          <w:rFonts w:ascii="仿宋" w:hAnsi="仿宋" w:eastAsia="仿宋" w:cs="仿宋"/>
          <w:kern w:val="36"/>
          <w:sz w:val="28"/>
          <w:szCs w:val="28"/>
        </w:rPr>
        <w:t>税务信息化廉政情况反馈书</w:t>
      </w:r>
      <w:bookmarkEnd w:id="88"/>
    </w:p>
    <w:tbl>
      <w:tblPr>
        <w:tblStyle w:val="19"/>
        <w:tblW w:w="9370" w:type="dxa"/>
        <w:tblCellSpacing w:w="0" w:type="dxa"/>
        <w:tblInd w:w="221" w:type="dxa"/>
        <w:tblLayout w:type="autofit"/>
        <w:tblCellMar>
          <w:top w:w="15" w:type="dxa"/>
          <w:left w:w="15" w:type="dxa"/>
          <w:bottom w:w="15" w:type="dxa"/>
          <w:right w:w="15" w:type="dxa"/>
        </w:tblCellMar>
      </w:tblPr>
      <w:tblGrid>
        <w:gridCol w:w="2348"/>
        <w:gridCol w:w="7022"/>
      </w:tblGrid>
      <w:tr>
        <w:tblPrEx>
          <w:tblCellMar>
            <w:top w:w="15" w:type="dxa"/>
            <w:left w:w="15" w:type="dxa"/>
            <w:bottom w:w="15" w:type="dxa"/>
            <w:right w:w="15" w:type="dxa"/>
          </w:tblCellMar>
        </w:tblPrEx>
        <w:trPr>
          <w:trHeight w:val="840" w:hRule="atLeast"/>
          <w:tblCellSpacing w:w="0" w:type="dxa"/>
        </w:trPr>
        <w:tc>
          <w:tcPr>
            <w:tcW w:w="9626" w:type="dxa"/>
            <w:gridSpan w:val="2"/>
            <w:tcBorders>
              <w:top w:val="single" w:color="000000" w:sz="8" w:space="0"/>
              <w:left w:val="single" w:color="000000" w:sz="8" w:space="0"/>
              <w:bottom w:val="single" w:color="000000" w:sz="8" w:space="0"/>
              <w:right w:val="single" w:color="000000" w:sz="8" w:space="0"/>
            </w:tcBorders>
            <w:noWrap w:val="0"/>
            <w:tcMar>
              <w:top w:w="0" w:type="dxa"/>
              <w:left w:w="118" w:type="dxa"/>
              <w:bottom w:w="0" w:type="dxa"/>
              <w:right w:w="118" w:type="dxa"/>
            </w:tcMar>
            <w:vAlign w:val="center"/>
          </w:tcPr>
          <w:p>
            <w:pPr>
              <w:pStyle w:val="12"/>
              <w:spacing w:before="0" w:after="0" w:line="560" w:lineRule="atLeast"/>
              <w:ind w:left="0" w:right="0" w:firstLine="560"/>
              <w:jc w:val="center"/>
              <w:textAlignment w:val="center"/>
              <w:rPr>
                <w:b w:val="0"/>
                <w:bCs w:val="0"/>
                <w:i w:val="0"/>
                <w:iCs w:val="0"/>
                <w:smallCaps w:val="0"/>
                <w:color w:val="000000"/>
              </w:rPr>
            </w:pPr>
            <w:r>
              <w:rPr>
                <w:rFonts w:ascii="仿宋" w:hAnsi="仿宋" w:eastAsia="仿宋" w:cs="仿宋"/>
                <w:b w:val="0"/>
                <w:bCs w:val="0"/>
                <w:i w:val="0"/>
                <w:iCs w:val="0"/>
                <w:smallCaps w:val="0"/>
                <w:color w:val="000000"/>
                <w:sz w:val="28"/>
                <w:szCs w:val="28"/>
              </w:rPr>
              <w:t>项目基本情况</w:t>
            </w:r>
          </w:p>
        </w:tc>
      </w:tr>
      <w:tr>
        <w:tblPrEx>
          <w:tblCellMar>
            <w:top w:w="15" w:type="dxa"/>
            <w:left w:w="15" w:type="dxa"/>
            <w:bottom w:w="15" w:type="dxa"/>
            <w:right w:w="15" w:type="dxa"/>
          </w:tblCellMar>
        </w:tblPrEx>
        <w:trPr>
          <w:trHeight w:val="285" w:hRule="atLeast"/>
          <w:tblCellSpacing w:w="0" w:type="dxa"/>
        </w:trPr>
        <w:tc>
          <w:tcPr>
            <w:tcW w:w="2417" w:type="dxa"/>
            <w:tcBorders>
              <w:left w:val="single" w:color="000000" w:sz="8" w:space="0"/>
              <w:bottom w:val="single" w:color="000000" w:sz="8" w:space="0"/>
              <w:right w:val="single" w:color="000000" w:sz="8" w:space="0"/>
            </w:tcBorders>
            <w:noWrap w:val="0"/>
            <w:tcMar>
              <w:top w:w="0" w:type="dxa"/>
              <w:left w:w="118" w:type="dxa"/>
              <w:bottom w:w="0" w:type="dxa"/>
              <w:right w:w="118" w:type="dxa"/>
            </w:tcMar>
            <w:vAlign w:val="center"/>
          </w:tcPr>
          <w:p>
            <w:pPr>
              <w:pStyle w:val="12"/>
              <w:spacing w:before="0" w:after="0" w:line="560" w:lineRule="atLeast"/>
              <w:ind w:left="0" w:right="0"/>
              <w:jc w:val="both"/>
              <w:textAlignment w:val="center"/>
              <w:rPr>
                <w:b w:val="0"/>
                <w:bCs w:val="0"/>
                <w:i w:val="0"/>
                <w:iCs w:val="0"/>
                <w:smallCaps w:val="0"/>
                <w:color w:val="000000"/>
              </w:rPr>
            </w:pPr>
            <w:r>
              <w:rPr>
                <w:rFonts w:ascii="仿宋" w:hAnsi="仿宋" w:eastAsia="仿宋" w:cs="仿宋"/>
                <w:b/>
                <w:bCs/>
                <w:i w:val="0"/>
                <w:iCs w:val="0"/>
                <w:smallCaps w:val="0"/>
                <w:color w:val="000000"/>
                <w:sz w:val="28"/>
                <w:szCs w:val="28"/>
              </w:rPr>
              <w:t>项目名称（编号）</w:t>
            </w:r>
          </w:p>
        </w:tc>
        <w:tc>
          <w:tcPr>
            <w:tcW w:w="7435" w:type="dxa"/>
            <w:tcBorders>
              <w:top w:val="single" w:color="000000" w:sz="8" w:space="0"/>
              <w:bottom w:val="single" w:color="000000" w:sz="8" w:space="0"/>
              <w:right w:val="single" w:color="000000" w:sz="8" w:space="0"/>
            </w:tcBorders>
            <w:noWrap w:val="0"/>
            <w:tcMar>
              <w:top w:w="0" w:type="dxa"/>
              <w:left w:w="108" w:type="dxa"/>
              <w:bottom w:w="0" w:type="dxa"/>
              <w:right w:w="118" w:type="dxa"/>
            </w:tcMar>
            <w:vAlign w:val="center"/>
          </w:tcPr>
          <w:p>
            <w:pPr>
              <w:pStyle w:val="12"/>
              <w:spacing w:before="0" w:after="0" w:line="560" w:lineRule="atLeast"/>
              <w:ind w:left="0" w:right="0" w:firstLine="560"/>
              <w:jc w:val="center"/>
              <w:textAlignment w:val="center"/>
              <w:rPr>
                <w:b w:val="0"/>
                <w:bCs w:val="0"/>
                <w:i w:val="0"/>
                <w:iCs w:val="0"/>
                <w:smallCaps w:val="0"/>
                <w:color w:val="000000"/>
              </w:rPr>
            </w:pPr>
            <w:r>
              <w:rPr>
                <w:rFonts w:ascii="仿宋" w:hAnsi="仿宋" w:eastAsia="仿宋" w:cs="仿宋"/>
                <w:b w:val="0"/>
                <w:bCs w:val="0"/>
                <w:i w:val="0"/>
                <w:iCs w:val="0"/>
                <w:smallCaps w:val="0"/>
                <w:color w:val="000000"/>
                <w:sz w:val="28"/>
                <w:szCs w:val="28"/>
              </w:rPr>
              <w:t>XXX税务信息化项目  项目编号</w:t>
            </w:r>
          </w:p>
        </w:tc>
      </w:tr>
      <w:tr>
        <w:tblPrEx>
          <w:tblCellMar>
            <w:top w:w="15" w:type="dxa"/>
            <w:left w:w="15" w:type="dxa"/>
            <w:bottom w:w="15" w:type="dxa"/>
            <w:right w:w="15" w:type="dxa"/>
          </w:tblCellMar>
        </w:tblPrEx>
        <w:trPr>
          <w:trHeight w:val="570" w:hRule="atLeast"/>
          <w:tblCellSpacing w:w="0" w:type="dxa"/>
        </w:trPr>
        <w:tc>
          <w:tcPr>
            <w:tcW w:w="2417" w:type="dxa"/>
            <w:tcBorders>
              <w:left w:val="single" w:color="000000" w:sz="8" w:space="0"/>
              <w:bottom w:val="single" w:color="000000" w:sz="8" w:space="0"/>
              <w:right w:val="single" w:color="000000" w:sz="8" w:space="0"/>
            </w:tcBorders>
            <w:noWrap w:val="0"/>
            <w:tcMar>
              <w:top w:w="0" w:type="dxa"/>
              <w:left w:w="118" w:type="dxa"/>
              <w:bottom w:w="0" w:type="dxa"/>
              <w:right w:w="118" w:type="dxa"/>
            </w:tcMar>
            <w:vAlign w:val="center"/>
          </w:tcPr>
          <w:p>
            <w:pPr>
              <w:pStyle w:val="12"/>
              <w:spacing w:before="0" w:after="0" w:line="560" w:lineRule="atLeast"/>
              <w:ind w:left="0" w:right="0"/>
              <w:jc w:val="both"/>
              <w:textAlignment w:val="center"/>
              <w:rPr>
                <w:b w:val="0"/>
                <w:bCs w:val="0"/>
                <w:i w:val="0"/>
                <w:iCs w:val="0"/>
                <w:smallCaps w:val="0"/>
                <w:color w:val="000000"/>
              </w:rPr>
            </w:pPr>
            <w:r>
              <w:rPr>
                <w:rFonts w:ascii="仿宋" w:hAnsi="仿宋" w:eastAsia="仿宋" w:cs="仿宋"/>
                <w:b/>
                <w:bCs/>
                <w:i w:val="0"/>
                <w:iCs w:val="0"/>
                <w:smallCaps w:val="0"/>
                <w:color w:val="000000"/>
                <w:sz w:val="28"/>
                <w:szCs w:val="28"/>
              </w:rPr>
              <w:t>服务商名称</w:t>
            </w:r>
          </w:p>
        </w:tc>
        <w:tc>
          <w:tcPr>
            <w:tcW w:w="7435" w:type="dxa"/>
            <w:tcBorders>
              <w:bottom w:val="single" w:color="000000" w:sz="8" w:space="0"/>
              <w:right w:val="single" w:color="000000" w:sz="8" w:space="0"/>
            </w:tcBorders>
            <w:noWrap w:val="0"/>
            <w:tcMar>
              <w:top w:w="0" w:type="dxa"/>
              <w:left w:w="108" w:type="dxa"/>
              <w:bottom w:w="0" w:type="dxa"/>
              <w:right w:w="118" w:type="dxa"/>
            </w:tcMar>
            <w:vAlign w:val="center"/>
          </w:tcPr>
          <w:p>
            <w:pPr>
              <w:pStyle w:val="12"/>
              <w:spacing w:before="0" w:after="0" w:line="560" w:lineRule="atLeast"/>
              <w:ind w:left="0" w:right="0" w:firstLine="560"/>
              <w:jc w:val="center"/>
              <w:textAlignment w:val="center"/>
              <w:rPr>
                <w:b w:val="0"/>
                <w:bCs w:val="0"/>
                <w:i w:val="0"/>
                <w:iCs w:val="0"/>
                <w:smallCaps w:val="0"/>
                <w:color w:val="000000"/>
              </w:rPr>
            </w:pPr>
            <w:r>
              <w:rPr>
                <w:rFonts w:ascii="仿宋" w:hAnsi="仿宋" w:eastAsia="仿宋" w:cs="仿宋"/>
                <w:b w:val="0"/>
                <w:bCs w:val="0"/>
                <w:i w:val="0"/>
                <w:iCs w:val="0"/>
                <w:smallCaps w:val="0"/>
                <w:color w:val="000000"/>
                <w:sz w:val="28"/>
                <w:szCs w:val="28"/>
              </w:rPr>
              <w:t>XXX公司</w:t>
            </w:r>
          </w:p>
        </w:tc>
      </w:tr>
      <w:tr>
        <w:tblPrEx>
          <w:tblCellMar>
            <w:top w:w="15" w:type="dxa"/>
            <w:left w:w="15" w:type="dxa"/>
            <w:bottom w:w="15" w:type="dxa"/>
            <w:right w:w="15" w:type="dxa"/>
          </w:tblCellMar>
        </w:tblPrEx>
        <w:trPr>
          <w:trHeight w:val="570" w:hRule="atLeast"/>
          <w:tblCellSpacing w:w="0" w:type="dxa"/>
        </w:trPr>
        <w:tc>
          <w:tcPr>
            <w:tcW w:w="2417" w:type="dxa"/>
            <w:tcBorders>
              <w:left w:val="single" w:color="000000" w:sz="8" w:space="0"/>
              <w:bottom w:val="single" w:color="000000" w:sz="8" w:space="0"/>
              <w:right w:val="single" w:color="000000" w:sz="8" w:space="0"/>
            </w:tcBorders>
            <w:noWrap w:val="0"/>
            <w:tcMar>
              <w:top w:w="0" w:type="dxa"/>
              <w:left w:w="118" w:type="dxa"/>
              <w:bottom w:w="0" w:type="dxa"/>
              <w:right w:w="118" w:type="dxa"/>
            </w:tcMar>
            <w:vAlign w:val="center"/>
          </w:tcPr>
          <w:p>
            <w:pPr>
              <w:pStyle w:val="12"/>
              <w:spacing w:before="0" w:after="0" w:line="560" w:lineRule="atLeast"/>
              <w:ind w:left="0" w:right="0"/>
              <w:jc w:val="both"/>
              <w:textAlignment w:val="center"/>
              <w:rPr>
                <w:b w:val="0"/>
                <w:bCs w:val="0"/>
                <w:i w:val="0"/>
                <w:iCs w:val="0"/>
                <w:smallCaps w:val="0"/>
                <w:color w:val="000000"/>
              </w:rPr>
            </w:pPr>
            <w:r>
              <w:rPr>
                <w:rFonts w:ascii="仿宋" w:hAnsi="仿宋" w:eastAsia="仿宋" w:cs="仿宋"/>
                <w:b/>
                <w:bCs/>
                <w:i w:val="0"/>
                <w:iCs w:val="0"/>
                <w:smallCaps w:val="0"/>
                <w:color w:val="000000"/>
                <w:sz w:val="28"/>
                <w:szCs w:val="28"/>
              </w:rPr>
              <w:t>联系人及电话</w:t>
            </w:r>
          </w:p>
        </w:tc>
        <w:tc>
          <w:tcPr>
            <w:tcW w:w="7435" w:type="dxa"/>
            <w:tcBorders>
              <w:bottom w:val="single" w:color="000000" w:sz="8" w:space="0"/>
              <w:right w:val="single" w:color="000000" w:sz="8" w:space="0"/>
            </w:tcBorders>
            <w:noWrap w:val="0"/>
            <w:tcMar>
              <w:top w:w="0" w:type="dxa"/>
              <w:left w:w="108" w:type="dxa"/>
              <w:bottom w:w="0" w:type="dxa"/>
              <w:right w:w="118" w:type="dxa"/>
            </w:tcMar>
            <w:vAlign w:val="center"/>
          </w:tcPr>
          <w:p>
            <w:pPr>
              <w:pStyle w:val="12"/>
              <w:spacing w:before="0" w:after="0" w:line="560" w:lineRule="atLeast"/>
              <w:ind w:left="0" w:right="0" w:firstLine="560"/>
              <w:jc w:val="center"/>
              <w:textAlignment w:val="center"/>
              <w:rPr>
                <w:b w:val="0"/>
                <w:bCs w:val="0"/>
                <w:i w:val="0"/>
                <w:iCs w:val="0"/>
                <w:smallCaps w:val="0"/>
                <w:color w:val="000000"/>
              </w:rPr>
            </w:pPr>
            <w:r>
              <w:rPr>
                <w:rFonts w:ascii="仿宋" w:hAnsi="仿宋" w:eastAsia="仿宋" w:cs="仿宋"/>
                <w:b w:val="0"/>
                <w:bCs w:val="0"/>
                <w:i w:val="0"/>
                <w:iCs w:val="0"/>
                <w:smallCaps w:val="0"/>
                <w:color w:val="000000"/>
                <w:sz w:val="28"/>
                <w:szCs w:val="28"/>
              </w:rPr>
              <w:t>联系人：  职务：   电话：123-4567890</w:t>
            </w:r>
          </w:p>
        </w:tc>
      </w:tr>
      <w:tr>
        <w:tblPrEx>
          <w:tblCellMar>
            <w:top w:w="15" w:type="dxa"/>
            <w:left w:w="15" w:type="dxa"/>
            <w:bottom w:w="15" w:type="dxa"/>
            <w:right w:w="15" w:type="dxa"/>
          </w:tblCellMar>
        </w:tblPrEx>
        <w:trPr>
          <w:trHeight w:val="570" w:hRule="atLeast"/>
          <w:tblCellSpacing w:w="0" w:type="dxa"/>
        </w:trPr>
        <w:tc>
          <w:tcPr>
            <w:tcW w:w="2417" w:type="dxa"/>
            <w:tcBorders>
              <w:left w:val="single" w:color="000000" w:sz="8" w:space="0"/>
              <w:bottom w:val="single" w:color="000000" w:sz="8" w:space="0"/>
              <w:right w:val="single" w:color="000000" w:sz="8" w:space="0"/>
            </w:tcBorders>
            <w:noWrap w:val="0"/>
            <w:tcMar>
              <w:top w:w="0" w:type="dxa"/>
              <w:left w:w="118" w:type="dxa"/>
              <w:bottom w:w="0" w:type="dxa"/>
              <w:right w:w="118" w:type="dxa"/>
            </w:tcMar>
            <w:vAlign w:val="center"/>
          </w:tcPr>
          <w:p>
            <w:pPr>
              <w:pStyle w:val="12"/>
              <w:spacing w:before="0" w:after="0" w:line="560" w:lineRule="atLeast"/>
              <w:ind w:left="0" w:right="0"/>
              <w:jc w:val="both"/>
              <w:textAlignment w:val="center"/>
              <w:rPr>
                <w:b w:val="0"/>
                <w:bCs w:val="0"/>
                <w:i w:val="0"/>
                <w:iCs w:val="0"/>
                <w:smallCaps w:val="0"/>
                <w:color w:val="000000"/>
              </w:rPr>
            </w:pPr>
            <w:r>
              <w:rPr>
                <w:rFonts w:ascii="仿宋" w:hAnsi="仿宋" w:eastAsia="仿宋" w:cs="仿宋"/>
                <w:b/>
                <w:bCs/>
                <w:i w:val="0"/>
                <w:iCs w:val="0"/>
                <w:smallCaps w:val="0"/>
                <w:color w:val="000000"/>
                <w:sz w:val="28"/>
                <w:szCs w:val="28"/>
              </w:rPr>
              <w:t>项目情况概述</w:t>
            </w:r>
          </w:p>
        </w:tc>
        <w:tc>
          <w:tcPr>
            <w:tcW w:w="7435" w:type="dxa"/>
            <w:tcBorders>
              <w:bottom w:val="single" w:color="000000" w:sz="8" w:space="0"/>
              <w:right w:val="single" w:color="000000" w:sz="8" w:space="0"/>
            </w:tcBorders>
            <w:noWrap w:val="0"/>
            <w:tcMar>
              <w:top w:w="0" w:type="dxa"/>
              <w:left w:w="108" w:type="dxa"/>
              <w:bottom w:w="0" w:type="dxa"/>
              <w:right w:w="118" w:type="dxa"/>
            </w:tcMar>
            <w:vAlign w:val="center"/>
          </w:tcPr>
          <w:p>
            <w:pPr>
              <w:pStyle w:val="12"/>
              <w:spacing w:before="0" w:after="0" w:line="560" w:lineRule="atLeast"/>
              <w:ind w:left="0" w:right="0" w:firstLine="560"/>
              <w:jc w:val="center"/>
              <w:rPr>
                <w:b w:val="0"/>
                <w:bCs w:val="0"/>
                <w:i w:val="0"/>
                <w:iCs w:val="0"/>
                <w:smallCaps w:val="0"/>
                <w:color w:val="000000"/>
              </w:rPr>
            </w:pPr>
            <w:r>
              <w:rPr>
                <w:rFonts w:ascii="仿宋" w:hAnsi="仿宋" w:eastAsia="仿宋" w:cs="仿宋"/>
                <w:b w:val="0"/>
                <w:bCs w:val="0"/>
                <w:i w:val="0"/>
                <w:iCs w:val="0"/>
                <w:smallCaps w:val="0"/>
                <w:color w:val="000000"/>
                <w:sz w:val="28"/>
                <w:szCs w:val="28"/>
              </w:rPr>
              <w:t> </w:t>
            </w:r>
          </w:p>
        </w:tc>
      </w:tr>
      <w:tr>
        <w:tblPrEx>
          <w:tblCellMar>
            <w:top w:w="15" w:type="dxa"/>
            <w:left w:w="15" w:type="dxa"/>
            <w:bottom w:w="15" w:type="dxa"/>
            <w:right w:w="15" w:type="dxa"/>
          </w:tblCellMar>
        </w:tblPrEx>
        <w:trPr>
          <w:trHeight w:val="700" w:hRule="atLeast"/>
          <w:tblCellSpacing w:w="0" w:type="dxa"/>
        </w:trPr>
        <w:tc>
          <w:tcPr>
            <w:gridSpan w:val="2"/>
            <w:tcBorders>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12"/>
              <w:spacing w:before="0" w:after="0" w:line="560" w:lineRule="atLeast"/>
              <w:ind w:left="0" w:right="0" w:firstLine="560"/>
              <w:jc w:val="center"/>
              <w:textAlignment w:val="center"/>
              <w:rPr>
                <w:b w:val="0"/>
                <w:bCs w:val="0"/>
                <w:i w:val="0"/>
                <w:iCs w:val="0"/>
                <w:smallCaps w:val="0"/>
                <w:color w:val="000000"/>
              </w:rPr>
            </w:pPr>
            <w:r>
              <w:rPr>
                <w:rFonts w:ascii="仿宋" w:hAnsi="仿宋" w:eastAsia="仿宋" w:cs="仿宋"/>
                <w:b w:val="0"/>
                <w:bCs w:val="0"/>
                <w:i w:val="0"/>
                <w:iCs w:val="0"/>
                <w:smallCaps w:val="0"/>
                <w:color w:val="000000"/>
                <w:sz w:val="28"/>
                <w:szCs w:val="28"/>
              </w:rPr>
              <w:t>廉洁承诺履行情况</w:t>
            </w:r>
          </w:p>
        </w:tc>
      </w:tr>
      <w:tr>
        <w:tblPrEx>
          <w:tblCellMar>
            <w:top w:w="15" w:type="dxa"/>
            <w:left w:w="15" w:type="dxa"/>
            <w:bottom w:w="15" w:type="dxa"/>
            <w:right w:w="15" w:type="dxa"/>
          </w:tblCellMar>
        </w:tblPrEx>
        <w:trPr>
          <w:trHeight w:val="285" w:hRule="atLeast"/>
          <w:tblCellSpacing w:w="0" w:type="dxa"/>
        </w:trPr>
        <w:tc>
          <w:tcPr>
            <w:tcW w:w="2417" w:type="dxa"/>
            <w:tcBorders>
              <w:left w:val="single" w:color="000000" w:sz="8" w:space="0"/>
              <w:bottom w:val="single" w:color="000000" w:sz="8" w:space="0"/>
              <w:right w:val="single" w:color="000000" w:sz="8" w:space="0"/>
            </w:tcBorders>
            <w:noWrap w:val="0"/>
            <w:tcMar>
              <w:top w:w="0" w:type="dxa"/>
              <w:left w:w="118" w:type="dxa"/>
              <w:bottom w:w="0" w:type="dxa"/>
              <w:right w:w="118" w:type="dxa"/>
            </w:tcMar>
            <w:vAlign w:val="center"/>
          </w:tcPr>
          <w:p>
            <w:pPr>
              <w:pStyle w:val="12"/>
              <w:spacing w:before="0" w:after="0" w:line="560" w:lineRule="atLeast"/>
              <w:ind w:left="0" w:right="0"/>
              <w:jc w:val="both"/>
              <w:textAlignment w:val="center"/>
              <w:rPr>
                <w:b w:val="0"/>
                <w:bCs w:val="0"/>
                <w:i w:val="0"/>
                <w:iCs w:val="0"/>
                <w:smallCaps w:val="0"/>
                <w:color w:val="000000"/>
              </w:rPr>
            </w:pPr>
            <w:r>
              <w:rPr>
                <w:rFonts w:ascii="仿宋" w:hAnsi="仿宋" w:eastAsia="仿宋" w:cs="仿宋"/>
                <w:b/>
                <w:bCs/>
                <w:i w:val="0"/>
                <w:iCs w:val="0"/>
                <w:smallCaps w:val="0"/>
                <w:color w:val="000000"/>
                <w:sz w:val="28"/>
                <w:szCs w:val="28"/>
              </w:rPr>
              <w:t>反馈项</w:t>
            </w:r>
          </w:p>
        </w:tc>
        <w:tc>
          <w:tcPr>
            <w:tcW w:w="7435" w:type="dxa"/>
            <w:tcBorders>
              <w:top w:val="single" w:color="000000" w:sz="8" w:space="0"/>
              <w:bottom w:val="single" w:color="000000" w:sz="8" w:space="0"/>
              <w:right w:val="single" w:color="000000" w:sz="8" w:space="0"/>
            </w:tcBorders>
            <w:noWrap w:val="0"/>
            <w:tcMar>
              <w:top w:w="0" w:type="dxa"/>
              <w:left w:w="108" w:type="dxa"/>
              <w:bottom w:w="0" w:type="dxa"/>
              <w:right w:w="118" w:type="dxa"/>
            </w:tcMar>
            <w:vAlign w:val="center"/>
          </w:tcPr>
          <w:p>
            <w:pPr>
              <w:pStyle w:val="12"/>
              <w:spacing w:before="0" w:after="0" w:line="560" w:lineRule="atLeast"/>
              <w:ind w:left="0" w:right="0" w:firstLine="560"/>
              <w:jc w:val="center"/>
              <w:textAlignment w:val="center"/>
              <w:rPr>
                <w:b w:val="0"/>
                <w:bCs w:val="0"/>
                <w:i w:val="0"/>
                <w:iCs w:val="0"/>
                <w:smallCaps w:val="0"/>
                <w:color w:val="000000"/>
              </w:rPr>
            </w:pPr>
            <w:r>
              <w:rPr>
                <w:rFonts w:ascii="仿宋" w:hAnsi="仿宋" w:eastAsia="仿宋" w:cs="仿宋"/>
                <w:b w:val="0"/>
                <w:bCs w:val="0"/>
                <w:i w:val="0"/>
                <w:iCs w:val="0"/>
                <w:smallCaps w:val="0"/>
                <w:color w:val="000000"/>
                <w:sz w:val="28"/>
                <w:szCs w:val="28"/>
              </w:rPr>
              <w:t>反馈内容</w:t>
            </w:r>
          </w:p>
        </w:tc>
      </w:tr>
      <w:tr>
        <w:tblPrEx>
          <w:tblCellMar>
            <w:top w:w="15" w:type="dxa"/>
            <w:left w:w="15" w:type="dxa"/>
            <w:bottom w:w="15" w:type="dxa"/>
            <w:right w:w="15" w:type="dxa"/>
          </w:tblCellMar>
        </w:tblPrEx>
        <w:trPr>
          <w:trHeight w:val="570" w:hRule="atLeast"/>
          <w:tblCellSpacing w:w="0" w:type="dxa"/>
        </w:trPr>
        <w:tc>
          <w:tcPr>
            <w:tcW w:w="2417" w:type="dxa"/>
            <w:tcBorders>
              <w:left w:val="single" w:color="000000" w:sz="8" w:space="0"/>
              <w:bottom w:val="single" w:color="000000" w:sz="8" w:space="0"/>
              <w:right w:val="single" w:color="000000" w:sz="8" w:space="0"/>
            </w:tcBorders>
            <w:noWrap w:val="0"/>
            <w:tcMar>
              <w:top w:w="0" w:type="dxa"/>
              <w:left w:w="118" w:type="dxa"/>
              <w:bottom w:w="0" w:type="dxa"/>
              <w:right w:w="118" w:type="dxa"/>
            </w:tcMar>
            <w:vAlign w:val="center"/>
          </w:tcPr>
          <w:p>
            <w:pPr>
              <w:pStyle w:val="12"/>
              <w:spacing w:before="0" w:after="0" w:line="560" w:lineRule="atLeast"/>
              <w:ind w:left="0" w:right="0"/>
              <w:jc w:val="both"/>
              <w:textAlignment w:val="center"/>
              <w:rPr>
                <w:b w:val="0"/>
                <w:bCs w:val="0"/>
                <w:i w:val="0"/>
                <w:iCs w:val="0"/>
                <w:smallCaps w:val="0"/>
                <w:color w:val="000000"/>
              </w:rPr>
            </w:pPr>
            <w:r>
              <w:rPr>
                <w:rFonts w:ascii="仿宋" w:hAnsi="仿宋" w:eastAsia="仿宋" w:cs="仿宋"/>
                <w:b/>
                <w:bCs/>
                <w:i w:val="0"/>
                <w:iCs w:val="0"/>
                <w:smallCaps w:val="0"/>
                <w:color w:val="000000"/>
                <w:sz w:val="28"/>
                <w:szCs w:val="28"/>
              </w:rPr>
              <w:t>杜绝商业贿赂</w:t>
            </w:r>
          </w:p>
        </w:tc>
        <w:tc>
          <w:tcPr>
            <w:tcW w:w="7435" w:type="dxa"/>
            <w:tcBorders>
              <w:bottom w:val="single" w:color="000000" w:sz="8" w:space="0"/>
              <w:right w:val="single" w:color="000000" w:sz="8" w:space="0"/>
            </w:tcBorders>
            <w:noWrap w:val="0"/>
            <w:tcMar>
              <w:top w:w="0" w:type="dxa"/>
              <w:left w:w="108" w:type="dxa"/>
              <w:bottom w:w="0" w:type="dxa"/>
              <w:right w:w="118" w:type="dxa"/>
            </w:tcMar>
            <w:vAlign w:val="center"/>
          </w:tcPr>
          <w:p>
            <w:pPr>
              <w:pStyle w:val="12"/>
              <w:spacing w:before="0" w:after="0" w:line="560" w:lineRule="atLeast"/>
              <w:ind w:left="0" w:right="0"/>
              <w:textAlignment w:val="center"/>
              <w:rPr>
                <w:b w:val="0"/>
                <w:bCs w:val="0"/>
                <w:i w:val="0"/>
                <w:iCs w:val="0"/>
                <w:smallCaps w:val="0"/>
                <w:color w:val="000000"/>
              </w:rPr>
            </w:pPr>
            <w:r>
              <w:rPr>
                <w:rFonts w:ascii="仿宋" w:hAnsi="仿宋" w:eastAsia="仿宋" w:cs="仿宋"/>
                <w:b w:val="0"/>
                <w:bCs w:val="0"/>
                <w:i w:val="0"/>
                <w:iCs w:val="0"/>
                <w:smallCaps w:val="0"/>
                <w:color w:val="000000"/>
                <w:sz w:val="28"/>
                <w:szCs w:val="28"/>
              </w:rPr>
              <w:t>向税务工作人员及其家属赠送礼品、礼金或提供任何形式的宴请、娱乐活动情况。</w:t>
            </w:r>
          </w:p>
        </w:tc>
      </w:tr>
      <w:tr>
        <w:tblPrEx>
          <w:tblCellMar>
            <w:top w:w="15" w:type="dxa"/>
            <w:left w:w="15" w:type="dxa"/>
            <w:bottom w:w="15" w:type="dxa"/>
            <w:right w:w="15" w:type="dxa"/>
          </w:tblCellMar>
        </w:tblPrEx>
        <w:trPr>
          <w:trHeight w:val="570" w:hRule="atLeast"/>
          <w:tblCellSpacing w:w="0" w:type="dxa"/>
        </w:trPr>
        <w:tc>
          <w:tcPr>
            <w:tcW w:w="2417" w:type="dxa"/>
            <w:tcBorders>
              <w:left w:val="single" w:color="000000" w:sz="8" w:space="0"/>
              <w:bottom w:val="single" w:color="000000" w:sz="8" w:space="0"/>
              <w:right w:val="single" w:color="000000" w:sz="8" w:space="0"/>
            </w:tcBorders>
            <w:noWrap w:val="0"/>
            <w:tcMar>
              <w:top w:w="0" w:type="dxa"/>
              <w:left w:w="118" w:type="dxa"/>
              <w:bottom w:w="0" w:type="dxa"/>
              <w:right w:w="118" w:type="dxa"/>
            </w:tcMar>
            <w:vAlign w:val="center"/>
          </w:tcPr>
          <w:p>
            <w:pPr>
              <w:pStyle w:val="12"/>
              <w:spacing w:before="0" w:after="0" w:line="560" w:lineRule="atLeast"/>
              <w:ind w:left="0" w:right="0"/>
              <w:jc w:val="both"/>
              <w:textAlignment w:val="center"/>
              <w:rPr>
                <w:b w:val="0"/>
                <w:bCs w:val="0"/>
                <w:i w:val="0"/>
                <w:iCs w:val="0"/>
                <w:smallCaps w:val="0"/>
                <w:color w:val="000000"/>
              </w:rPr>
            </w:pPr>
            <w:r>
              <w:rPr>
                <w:rFonts w:ascii="仿宋" w:hAnsi="仿宋" w:eastAsia="仿宋" w:cs="仿宋"/>
                <w:b/>
                <w:bCs/>
                <w:i w:val="0"/>
                <w:iCs w:val="0"/>
                <w:smallCaps w:val="0"/>
                <w:color w:val="000000"/>
                <w:sz w:val="28"/>
                <w:szCs w:val="28"/>
              </w:rPr>
              <w:t>规范经营活动</w:t>
            </w:r>
          </w:p>
        </w:tc>
        <w:tc>
          <w:tcPr>
            <w:tcW w:w="7435" w:type="dxa"/>
            <w:tcBorders>
              <w:bottom w:val="single" w:color="000000" w:sz="8" w:space="0"/>
              <w:right w:val="single" w:color="000000" w:sz="8" w:space="0"/>
            </w:tcBorders>
            <w:noWrap w:val="0"/>
            <w:tcMar>
              <w:top w:w="0" w:type="dxa"/>
              <w:left w:w="108" w:type="dxa"/>
              <w:bottom w:w="0" w:type="dxa"/>
              <w:right w:w="118" w:type="dxa"/>
            </w:tcMar>
            <w:vAlign w:val="center"/>
          </w:tcPr>
          <w:p>
            <w:pPr>
              <w:pStyle w:val="12"/>
              <w:spacing w:before="0" w:after="0" w:line="560" w:lineRule="atLeast"/>
              <w:ind w:left="0" w:right="0"/>
              <w:textAlignment w:val="center"/>
              <w:rPr>
                <w:b w:val="0"/>
                <w:bCs w:val="0"/>
                <w:i w:val="0"/>
                <w:iCs w:val="0"/>
                <w:smallCaps w:val="0"/>
                <w:color w:val="000000"/>
              </w:rPr>
            </w:pPr>
            <w:r>
              <w:rPr>
                <w:rFonts w:ascii="仿宋" w:hAnsi="仿宋" w:eastAsia="仿宋" w:cs="仿宋"/>
                <w:b w:val="0"/>
                <w:bCs w:val="0"/>
                <w:i w:val="0"/>
                <w:iCs w:val="0"/>
                <w:smallCaps w:val="0"/>
                <w:color w:val="000000"/>
                <w:sz w:val="28"/>
                <w:szCs w:val="28"/>
              </w:rPr>
              <w:t>按照合同要求，按时完成各阶段任务，确保项目质量和进度情况。</w:t>
            </w:r>
          </w:p>
        </w:tc>
      </w:tr>
      <w:tr>
        <w:tblPrEx>
          <w:tblCellMar>
            <w:top w:w="15" w:type="dxa"/>
            <w:left w:w="15" w:type="dxa"/>
            <w:bottom w:w="15" w:type="dxa"/>
            <w:right w:w="15" w:type="dxa"/>
          </w:tblCellMar>
        </w:tblPrEx>
        <w:trPr>
          <w:trHeight w:val="570" w:hRule="atLeast"/>
          <w:tblCellSpacing w:w="0" w:type="dxa"/>
        </w:trPr>
        <w:tc>
          <w:tcPr>
            <w:tcW w:w="2417" w:type="dxa"/>
            <w:tcBorders>
              <w:left w:val="single" w:color="000000" w:sz="8" w:space="0"/>
              <w:bottom w:val="single" w:color="000000" w:sz="8" w:space="0"/>
              <w:right w:val="single" w:color="000000" w:sz="8" w:space="0"/>
            </w:tcBorders>
            <w:noWrap w:val="0"/>
            <w:tcMar>
              <w:top w:w="0" w:type="dxa"/>
              <w:left w:w="118" w:type="dxa"/>
              <w:bottom w:w="0" w:type="dxa"/>
              <w:right w:w="118" w:type="dxa"/>
            </w:tcMar>
            <w:vAlign w:val="center"/>
          </w:tcPr>
          <w:p>
            <w:pPr>
              <w:pStyle w:val="12"/>
              <w:spacing w:before="0" w:after="0" w:line="560" w:lineRule="atLeast"/>
              <w:ind w:left="0" w:right="0"/>
              <w:jc w:val="both"/>
              <w:textAlignment w:val="center"/>
              <w:rPr>
                <w:b w:val="0"/>
                <w:bCs w:val="0"/>
                <w:i w:val="0"/>
                <w:iCs w:val="0"/>
                <w:smallCaps w:val="0"/>
                <w:color w:val="000000"/>
              </w:rPr>
            </w:pPr>
            <w:r>
              <w:rPr>
                <w:rFonts w:ascii="仿宋" w:hAnsi="仿宋" w:eastAsia="仿宋" w:cs="仿宋"/>
                <w:b/>
                <w:bCs/>
                <w:i w:val="0"/>
                <w:iCs w:val="0"/>
                <w:smallCaps w:val="0"/>
                <w:color w:val="000000"/>
                <w:sz w:val="28"/>
                <w:szCs w:val="28"/>
              </w:rPr>
              <w:t>公开透明合作</w:t>
            </w:r>
          </w:p>
        </w:tc>
        <w:tc>
          <w:tcPr>
            <w:tcW w:w="7435" w:type="dxa"/>
            <w:tcBorders>
              <w:bottom w:val="single" w:color="000000" w:sz="8" w:space="0"/>
              <w:right w:val="single" w:color="000000" w:sz="8" w:space="0"/>
            </w:tcBorders>
            <w:noWrap w:val="0"/>
            <w:tcMar>
              <w:top w:w="0" w:type="dxa"/>
              <w:left w:w="108" w:type="dxa"/>
              <w:bottom w:w="0" w:type="dxa"/>
              <w:right w:w="118" w:type="dxa"/>
            </w:tcMar>
            <w:vAlign w:val="center"/>
          </w:tcPr>
          <w:p>
            <w:pPr>
              <w:pStyle w:val="12"/>
              <w:spacing w:before="0" w:after="0" w:line="560" w:lineRule="atLeast"/>
              <w:ind w:left="0" w:right="0"/>
              <w:textAlignment w:val="center"/>
              <w:rPr>
                <w:b w:val="0"/>
                <w:bCs w:val="0"/>
                <w:i w:val="0"/>
                <w:iCs w:val="0"/>
                <w:smallCaps w:val="0"/>
                <w:color w:val="000000"/>
              </w:rPr>
            </w:pPr>
            <w:r>
              <w:rPr>
                <w:rFonts w:ascii="仿宋" w:hAnsi="仿宋" w:eastAsia="仿宋" w:cs="仿宋"/>
                <w:b w:val="0"/>
                <w:bCs w:val="0"/>
                <w:i w:val="0"/>
                <w:iCs w:val="0"/>
                <w:smallCaps w:val="0"/>
                <w:color w:val="000000"/>
                <w:sz w:val="28"/>
                <w:szCs w:val="28"/>
              </w:rPr>
              <w:t>在项目实施过程中保持信息公开透明，主动接受相关部门的监督和检查情况。</w:t>
            </w:r>
          </w:p>
        </w:tc>
      </w:tr>
      <w:tr>
        <w:tblPrEx>
          <w:tblCellMar>
            <w:top w:w="15" w:type="dxa"/>
            <w:left w:w="15" w:type="dxa"/>
            <w:bottom w:w="15" w:type="dxa"/>
            <w:right w:w="15" w:type="dxa"/>
          </w:tblCellMar>
        </w:tblPrEx>
        <w:trPr>
          <w:trHeight w:val="405" w:hRule="atLeast"/>
          <w:tblCellSpacing w:w="0" w:type="dxa"/>
        </w:trPr>
        <w:tc>
          <w:tcPr>
            <w:gridSpan w:val="2"/>
            <w:tcBorders>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12"/>
              <w:spacing w:before="0" w:after="0" w:line="560" w:lineRule="atLeast"/>
              <w:ind w:left="0" w:right="0" w:firstLine="560"/>
              <w:jc w:val="center"/>
              <w:textAlignment w:val="center"/>
              <w:rPr>
                <w:b w:val="0"/>
                <w:bCs w:val="0"/>
                <w:i w:val="0"/>
                <w:iCs w:val="0"/>
                <w:smallCaps w:val="0"/>
                <w:color w:val="000000"/>
              </w:rPr>
            </w:pPr>
            <w:r>
              <w:rPr>
                <w:rFonts w:ascii="仿宋" w:hAnsi="仿宋" w:eastAsia="仿宋" w:cs="仿宋"/>
                <w:b w:val="0"/>
                <w:bCs w:val="0"/>
                <w:i w:val="0"/>
                <w:iCs w:val="0"/>
                <w:smallCaps w:val="0"/>
                <w:color w:val="000000"/>
                <w:sz w:val="28"/>
                <w:szCs w:val="28"/>
              </w:rPr>
              <w:t>税务人员履职期间廉政情况</w:t>
            </w:r>
          </w:p>
        </w:tc>
      </w:tr>
      <w:tr>
        <w:tblPrEx>
          <w:tblCellMar>
            <w:top w:w="15" w:type="dxa"/>
            <w:left w:w="15" w:type="dxa"/>
            <w:bottom w:w="15" w:type="dxa"/>
            <w:right w:w="15" w:type="dxa"/>
          </w:tblCellMar>
        </w:tblPrEx>
        <w:trPr>
          <w:trHeight w:val="505" w:hRule="atLeast"/>
          <w:tblCellSpacing w:w="0" w:type="dxa"/>
        </w:trPr>
        <w:tc>
          <w:tcPr>
            <w:tcW w:w="2417" w:type="dxa"/>
            <w:vMerge w:val="restart"/>
            <w:tcBorders>
              <w:left w:val="single" w:color="000000" w:sz="8" w:space="0"/>
              <w:bottom w:val="nil"/>
              <w:right w:val="single" w:color="000000" w:sz="8" w:space="0"/>
            </w:tcBorders>
            <w:noWrap w:val="0"/>
            <w:tcMar>
              <w:top w:w="0" w:type="dxa"/>
              <w:left w:w="118" w:type="dxa"/>
              <w:bottom w:w="0" w:type="dxa"/>
              <w:right w:w="118" w:type="dxa"/>
            </w:tcMar>
            <w:vAlign w:val="center"/>
          </w:tcPr>
          <w:p>
            <w:pPr>
              <w:pStyle w:val="12"/>
              <w:spacing w:before="0" w:after="0" w:line="560" w:lineRule="atLeast"/>
              <w:ind w:left="0" w:right="0"/>
              <w:jc w:val="both"/>
              <w:textAlignment w:val="center"/>
              <w:rPr>
                <w:b w:val="0"/>
                <w:bCs w:val="0"/>
                <w:i w:val="0"/>
                <w:iCs w:val="0"/>
                <w:smallCaps w:val="0"/>
                <w:color w:val="000000"/>
              </w:rPr>
            </w:pPr>
            <w:r>
              <w:rPr>
                <w:rFonts w:ascii="仿宋" w:hAnsi="仿宋" w:eastAsia="仿宋" w:cs="仿宋"/>
                <w:b/>
                <w:bCs/>
                <w:i w:val="0"/>
                <w:iCs w:val="0"/>
                <w:smallCaps w:val="0"/>
                <w:color w:val="000000"/>
                <w:sz w:val="28"/>
                <w:szCs w:val="28"/>
              </w:rPr>
              <w:t>税务人员履职过程存在违纪违规行为</w:t>
            </w:r>
          </w:p>
        </w:tc>
        <w:tc>
          <w:tcPr>
            <w:tcW w:w="7435" w:type="dxa"/>
            <w:tcBorders>
              <w:top w:val="single" w:color="000000" w:sz="8" w:space="0"/>
              <w:bottom w:val="single" w:color="000000" w:sz="8" w:space="0"/>
              <w:right w:val="single" w:color="000000" w:sz="8" w:space="0"/>
            </w:tcBorders>
            <w:noWrap w:val="0"/>
            <w:tcMar>
              <w:top w:w="0" w:type="dxa"/>
              <w:left w:w="108" w:type="dxa"/>
              <w:bottom w:w="0" w:type="dxa"/>
              <w:right w:w="118" w:type="dxa"/>
            </w:tcMar>
            <w:vAlign w:val="center"/>
          </w:tcPr>
          <w:p>
            <w:pPr>
              <w:pStyle w:val="12"/>
              <w:spacing w:before="0" w:after="0" w:line="560" w:lineRule="atLeast"/>
              <w:ind w:left="0" w:right="0" w:firstLine="560"/>
              <w:jc w:val="center"/>
              <w:textAlignment w:val="center"/>
              <w:rPr>
                <w:b w:val="0"/>
                <w:bCs w:val="0"/>
                <w:i w:val="0"/>
                <w:iCs w:val="0"/>
                <w:smallCaps w:val="0"/>
                <w:color w:val="000000"/>
              </w:rPr>
            </w:pPr>
            <w:r>
              <w:rPr>
                <w:rFonts w:ascii="仿宋" w:hAnsi="仿宋" w:eastAsia="仿宋" w:cs="仿宋"/>
                <w:b w:val="0"/>
                <w:bCs w:val="0"/>
                <w:i w:val="0"/>
                <w:iCs w:val="0"/>
                <w:smallCaps w:val="0"/>
                <w:color w:val="000000"/>
                <w:sz w:val="28"/>
                <w:szCs w:val="28"/>
              </w:rPr>
              <w:t>否</w:t>
            </w:r>
          </w:p>
        </w:tc>
      </w:tr>
      <w:tr>
        <w:tblPrEx>
          <w:tblCellMar>
            <w:top w:w="15" w:type="dxa"/>
            <w:left w:w="15" w:type="dxa"/>
            <w:bottom w:w="15" w:type="dxa"/>
            <w:right w:w="15" w:type="dxa"/>
          </w:tblCellMar>
        </w:tblPrEx>
        <w:trPr>
          <w:trHeight w:val="560" w:hRule="atLeast"/>
          <w:tblCellSpacing w:w="0" w:type="dxa"/>
        </w:trPr>
        <w:tc>
          <w:tcPr>
            <w:vMerge w:val="continue"/>
            <w:tcBorders>
              <w:left w:val="single" w:color="000000" w:sz="8" w:space="0"/>
              <w:right w:val="single" w:color="000000" w:sz="8" w:space="0"/>
            </w:tcBorders>
            <w:vAlign w:val="center"/>
          </w:tcPr>
          <w:p>
            <w:pPr>
              <w:rPr>
                <w:rFonts w:ascii="仿宋" w:hAnsi="仿宋" w:eastAsia="仿宋" w:cs="仿宋"/>
                <w:b w:val="0"/>
                <w:bCs w:val="0"/>
                <w:i w:val="0"/>
                <w:iCs w:val="0"/>
                <w:smallCaps w:val="0"/>
                <w:color w:val="000000"/>
                <w:sz w:val="28"/>
                <w:szCs w:val="28"/>
              </w:rPr>
            </w:pPr>
          </w:p>
        </w:tc>
        <w:tc>
          <w:tcPr>
            <w:tcW w:w="7435" w:type="dxa"/>
            <w:vMerge w:val="restart"/>
            <w:tcBorders>
              <w:bottom w:val="nil"/>
              <w:right w:val="single" w:color="000000" w:sz="8" w:space="0"/>
            </w:tcBorders>
            <w:noWrap w:val="0"/>
            <w:tcMar>
              <w:top w:w="0" w:type="dxa"/>
              <w:left w:w="108" w:type="dxa"/>
              <w:bottom w:w="0" w:type="dxa"/>
              <w:right w:w="118" w:type="dxa"/>
            </w:tcMar>
            <w:vAlign w:val="center"/>
          </w:tcPr>
          <w:p>
            <w:pPr>
              <w:pStyle w:val="12"/>
              <w:spacing w:before="0" w:after="0" w:line="560" w:lineRule="atLeast"/>
              <w:ind w:left="0" w:right="0" w:firstLine="560"/>
              <w:jc w:val="center"/>
              <w:textAlignment w:val="center"/>
              <w:rPr>
                <w:b w:val="0"/>
                <w:bCs w:val="0"/>
                <w:i w:val="0"/>
                <w:iCs w:val="0"/>
                <w:smallCaps w:val="0"/>
                <w:color w:val="000000"/>
              </w:rPr>
            </w:pPr>
            <w:r>
              <w:rPr>
                <w:rFonts w:ascii="仿宋" w:hAnsi="仿宋" w:eastAsia="仿宋" w:cs="仿宋"/>
                <w:b w:val="0"/>
                <w:bCs w:val="0"/>
                <w:i w:val="0"/>
                <w:iCs w:val="0"/>
                <w:smallCaps w:val="0"/>
                <w:color w:val="000000"/>
                <w:sz w:val="28"/>
                <w:szCs w:val="28"/>
              </w:rPr>
              <w:t>是（说明具体情况）</w:t>
            </w:r>
          </w:p>
        </w:tc>
      </w:tr>
      <w:tr>
        <w:tblPrEx>
          <w:tblCellMar>
            <w:top w:w="15" w:type="dxa"/>
            <w:left w:w="15" w:type="dxa"/>
            <w:bottom w:w="15" w:type="dxa"/>
            <w:right w:w="15" w:type="dxa"/>
          </w:tblCellMar>
        </w:tblPrEx>
        <w:trPr>
          <w:trHeight w:val="560" w:hRule="atLeast"/>
          <w:tblCellSpacing w:w="0" w:type="dxa"/>
        </w:trPr>
        <w:tc>
          <w:tcPr>
            <w:vMerge w:val="continue"/>
            <w:tcBorders>
              <w:left w:val="single" w:color="000000" w:sz="8" w:space="0"/>
              <w:bottom w:val="single" w:color="000000" w:sz="8" w:space="0"/>
              <w:right w:val="single" w:color="000000" w:sz="8" w:space="0"/>
            </w:tcBorders>
            <w:vAlign w:val="center"/>
          </w:tcPr>
          <w:p>
            <w:pPr>
              <w:rPr>
                <w:rFonts w:ascii="仿宋" w:hAnsi="仿宋" w:eastAsia="仿宋" w:cs="仿宋"/>
                <w:b w:val="0"/>
                <w:bCs w:val="0"/>
                <w:i w:val="0"/>
                <w:iCs w:val="0"/>
                <w:smallCaps w:val="0"/>
                <w:color w:val="000000"/>
                <w:sz w:val="28"/>
                <w:szCs w:val="28"/>
              </w:rPr>
            </w:pPr>
          </w:p>
        </w:tc>
        <w:tc>
          <w:tcPr>
            <w:vMerge w:val="continue"/>
            <w:tcBorders>
              <w:bottom w:val="single" w:color="000000" w:sz="8" w:space="0"/>
              <w:right w:val="single" w:color="000000" w:sz="8" w:space="0"/>
            </w:tcBorders>
            <w:vAlign w:val="center"/>
          </w:tcPr>
          <w:p>
            <w:pPr>
              <w:rPr>
                <w:rFonts w:ascii="仿宋" w:hAnsi="仿宋" w:eastAsia="仿宋" w:cs="仿宋"/>
                <w:b w:val="0"/>
                <w:bCs w:val="0"/>
                <w:i w:val="0"/>
                <w:iCs w:val="0"/>
                <w:smallCaps w:val="0"/>
                <w:color w:val="000000"/>
                <w:sz w:val="28"/>
                <w:szCs w:val="28"/>
              </w:rPr>
            </w:pPr>
          </w:p>
        </w:tc>
      </w:tr>
    </w:tbl>
    <w:p>
      <w:pPr>
        <w:pStyle w:val="12"/>
        <w:spacing w:before="0" w:after="0" w:line="360" w:lineRule="auto"/>
        <w:ind w:left="0" w:right="0"/>
        <w:rPr>
          <w:rFonts w:ascii="Times New Roman" w:hAnsi="Times New Roman" w:eastAsia="Times New Roman" w:cs="Times New Roman"/>
        </w:rPr>
      </w:pPr>
      <w:r>
        <w:rPr>
          <w:rFonts w:ascii="仿宋" w:hAnsi="仿宋" w:eastAsia="仿宋" w:cs="仿宋"/>
          <w:sz w:val="32"/>
          <w:szCs w:val="32"/>
        </w:rPr>
        <w:t> </w:t>
      </w:r>
      <w:r>
        <w:t> </w:t>
      </w:r>
    </w:p>
    <w:sectPr>
      <w:footerReference r:id="rId3" w:type="default"/>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Arial">
    <w:altName w:val="Nimbus Roman No9 L"/>
    <w:panose1 w:val="020B0604020202020204"/>
    <w:charset w:val="CC"/>
    <w:family w:val="swiss"/>
    <w:pitch w:val="default"/>
    <w:sig w:usb0="00000000" w:usb1="00000000" w:usb2="00000008" w:usb3="00000000" w:csb0="000001FF" w:csb1="00000000"/>
  </w:font>
  <w:font w:name="仿宋_GB2312">
    <w:panose1 w:val="02010609030101010101"/>
    <w:charset w:val="86"/>
    <w:family w:val="auto"/>
    <w:pitch w:val="default"/>
    <w:sig w:usb0="00000001" w:usb1="080E0000" w:usb2="00000000" w:usb3="00000000" w:csb0="00040000" w:csb1="00000000"/>
  </w:font>
  <w:font w:name="方正仿宋_GB2312">
    <w:altName w:val="方正仿宋_GBK"/>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FangSong_GB2312">
    <w:panose1 w:val="02010609030101010101"/>
    <w:charset w:val="86"/>
    <w:family w:val="auto"/>
    <w:pitch w:val="default"/>
    <w:sig w:usb0="00000001" w:usb1="080E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Microsoft YaHei">
    <w:altName w:val="黑体"/>
    <w:panose1 w:val="00000000000000000000"/>
    <w:charset w:val="00"/>
    <w:family w:val="auto"/>
    <w:pitch w:val="default"/>
    <w:sig w:usb0="00000000" w:usb1="00000000" w:usb2="00000000" w:usb3="00000000" w:csb0="00000000" w:csb1="00000000"/>
  </w:font>
  <w:font w:name="Tahoma">
    <w:altName w:val="Droid Sans"/>
    <w:panose1 w:val="00000000000000000000"/>
    <w:charset w:val="00"/>
    <w:family w:val="auto"/>
    <w:pitch w:val="default"/>
    <w:sig w:usb0="00000000" w:usb1="00000000" w:usb2="00000000" w:usb3="00000000" w:csb0="00000000" w:csb1="00000000"/>
  </w:font>
  <w:font w:name="Droid Sans">
    <w:panose1 w:val="020B0606030804020204"/>
    <w:charset w:val="00"/>
    <w:family w:val="auto"/>
    <w:pitch w:val="default"/>
    <w:sig w:usb0="E00002EF" w:usb1="4000205B" w:usb2="00000028"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0" w:after="0" w:line="360" w:lineRule="auto"/>
      <w:jc w:val="center"/>
    </w:pPr>
    <w:r>
      <w:fldChar w:fldCharType="begin"/>
    </w:r>
    <w:r>
      <w:instrText xml:space="preserve"> PAGE </w:instrText>
    </w:r>
    <w:r>
      <w:fldChar w:fldCharType="separate"/>
    </w:r>
    <w:r>
      <w:t>29</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noPunctuationKerning w:val="true"/>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A77B3E"/>
    <w:rsid w:val="00CA2A55"/>
    <w:rsid w:val="135F1A4C"/>
    <w:rsid w:val="2BBF0A16"/>
    <w:rsid w:val="4B7EC315"/>
    <w:rsid w:val="65CDF9A1"/>
    <w:rsid w:val="6CE7DA53"/>
    <w:rsid w:val="7F7BC3A8"/>
    <w:rsid w:val="7FEBD1E6"/>
    <w:rsid w:val="BFE51A7B"/>
    <w:rsid w:val="D99E85AB"/>
    <w:rsid w:val="DD7E6F5F"/>
    <w:rsid w:val="F99A473C"/>
    <w:rsid w:val="FE6F805D"/>
    <w:rsid w:val="FF3FCE66"/>
    <w:rsid w:val="FF7D4343"/>
    <w:rsid w:val="FFF6D6E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basedOn w:val="1"/>
    <w:next w:val="1"/>
    <w:qFormat/>
    <w:uiPriority w:val="0"/>
    <w:pPr>
      <w:keepNext/>
      <w:spacing w:before="240" w:after="60"/>
      <w:outlineLvl w:val="0"/>
    </w:pPr>
    <w:rPr>
      <w:rFonts w:ascii="Arial" w:hAnsi="Arial" w:cs="Arial"/>
      <w:b/>
      <w:bCs/>
      <w:kern w:val="32"/>
      <w:sz w:val="32"/>
      <w:szCs w:val="32"/>
    </w:rPr>
  </w:style>
  <w:style w:type="paragraph" w:styleId="3">
    <w:name w:val="heading 2"/>
    <w:basedOn w:val="1"/>
    <w:next w:val="1"/>
    <w:qFormat/>
    <w:uiPriority w:val="0"/>
    <w:pPr>
      <w:keepNext/>
      <w:spacing w:before="240" w:after="60"/>
      <w:outlineLvl w:val="1"/>
    </w:pPr>
    <w:rPr>
      <w:rFonts w:ascii="Arial" w:hAnsi="Arial" w:cs="Arial"/>
      <w:b/>
      <w:bCs/>
      <w:i/>
      <w:iCs/>
      <w:sz w:val="28"/>
      <w:szCs w:val="28"/>
    </w:rPr>
  </w:style>
  <w:style w:type="paragraph" w:styleId="4">
    <w:name w:val="heading 3"/>
    <w:basedOn w:val="1"/>
    <w:next w:val="1"/>
    <w:qFormat/>
    <w:uiPriority w:val="0"/>
    <w:pPr>
      <w:keepNext/>
      <w:spacing w:before="240" w:after="60"/>
      <w:outlineLvl w:val="2"/>
    </w:pPr>
    <w:rPr>
      <w:rFonts w:ascii="Arial" w:hAnsi="Arial" w:cs="Arial"/>
      <w:b/>
      <w:bCs/>
      <w:sz w:val="26"/>
      <w:szCs w:val="26"/>
    </w:rPr>
  </w:style>
  <w:style w:type="paragraph" w:styleId="5">
    <w:name w:val="heading 4"/>
    <w:basedOn w:val="1"/>
    <w:next w:val="1"/>
    <w:qFormat/>
    <w:uiPriority w:val="0"/>
    <w:pPr>
      <w:keepNext/>
      <w:spacing w:before="240" w:after="60"/>
      <w:outlineLvl w:val="3"/>
    </w:pPr>
    <w:rPr>
      <w:b/>
      <w:bCs/>
      <w:sz w:val="28"/>
      <w:szCs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toc 3"/>
    <w:basedOn w:val="1"/>
    <w:next w:val="1"/>
    <w:qFormat/>
    <w:uiPriority w:val="0"/>
    <w:pPr>
      <w:ind w:left="480"/>
    </w:pPr>
  </w:style>
  <w:style w:type="paragraph" w:styleId="7">
    <w:name w:val="toc 1"/>
    <w:basedOn w:val="1"/>
    <w:next w:val="1"/>
    <w:qFormat/>
    <w:uiPriority w:val="0"/>
  </w:style>
  <w:style w:type="paragraph" w:styleId="8">
    <w:name w:val="toc 2"/>
    <w:basedOn w:val="1"/>
    <w:next w:val="1"/>
    <w:qFormat/>
    <w:uiPriority w:val="0"/>
    <w:pPr>
      <w:ind w:left="240"/>
    </w:pPr>
  </w:style>
  <w:style w:type="character" w:styleId="11">
    <w:name w:val="Hyperlink"/>
    <w:basedOn w:val="10"/>
    <w:qFormat/>
    <w:uiPriority w:val="0"/>
    <w:rPr>
      <w:color w:val="0000FF"/>
      <w:u w:val="single"/>
    </w:rPr>
  </w:style>
  <w:style w:type="paragraph" w:customStyle="1" w:styleId="12">
    <w:name w:val="MsoNormal"/>
    <w:basedOn w:val="1"/>
    <w:qFormat/>
    <w:uiPriority w:val="0"/>
  </w:style>
  <w:style w:type="paragraph" w:customStyle="1" w:styleId="13">
    <w:name w:val="16"/>
    <w:basedOn w:val="1"/>
    <w:qFormat/>
    <w:uiPriority w:val="0"/>
  </w:style>
  <w:style w:type="paragraph" w:customStyle="1" w:styleId="14">
    <w:name w:val="17"/>
    <w:basedOn w:val="1"/>
    <w:qFormat/>
    <w:uiPriority w:val="0"/>
  </w:style>
  <w:style w:type="paragraph" w:customStyle="1" w:styleId="15">
    <w:name w:val="15"/>
    <w:basedOn w:val="1"/>
    <w:qFormat/>
    <w:uiPriority w:val="0"/>
  </w:style>
  <w:style w:type="table" w:customStyle="1" w:styleId="16">
    <w:name w:val="MsoTableGrid"/>
    <w:basedOn w:val="9"/>
    <w:qFormat/>
    <w:uiPriority w:val="0"/>
  </w:style>
  <w:style w:type="paragraph" w:customStyle="1" w:styleId="17">
    <w:name w:val="p"/>
    <w:basedOn w:val="1"/>
    <w:qFormat/>
    <w:uiPriority w:val="0"/>
  </w:style>
  <w:style w:type="paragraph" w:customStyle="1" w:styleId="18">
    <w:name w:val="18"/>
    <w:basedOn w:val="1"/>
    <w:qFormat/>
    <w:uiPriority w:val="0"/>
  </w:style>
  <w:style w:type="table" w:customStyle="1" w:styleId="19">
    <w:name w:val="MsoNormalTable"/>
    <w:basedOn w:val="9"/>
    <w:qFormat/>
    <w:uiPriority w:val="0"/>
  </w:style>
  <w:style w:type="paragraph" w:customStyle="1" w:styleId="20">
    <w:name w:val="MsoToc1"/>
    <w:basedOn w:val="1"/>
    <w:qFormat/>
    <w:uiPriority w:val="0"/>
  </w:style>
  <w:style w:type="paragraph" w:customStyle="1" w:styleId="21">
    <w:name w:val="MsoBodyText"/>
    <w:basedOn w:val="1"/>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Pages>29</Pages>
  <Words>0</Words>
  <Characters>0</Characters>
  <Lines>1</Lines>
  <Paragraphs>1</Paragraphs>
  <TotalTime>86</TotalTime>
  <ScaleCrop>false</ScaleCrop>
  <LinksUpToDate>false</LinksUpToDate>
  <CharactersWithSpaces>0</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2026-07-16T08:49:30Z</dcterms:created>
  <dc:creator>user</dc:creator>
  <cp:lastModifiedBy>user</cp:lastModifiedBy>
  <dcterms:modified xsi:type="dcterms:W3CDTF">2026-07-16T10:55:27Z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ies>
</file>