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sz w:val="44"/>
          <w:szCs w:val="44"/>
          <w:highlight w:val="none"/>
          <w:lang w:eastAsia="zh-CN"/>
        </w:rPr>
        <w:t>全区税务系统先进集体拟表彰对象名单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eastAsia="zh-CN"/>
        </w:rPr>
        <w:t>（共</w:t>
      </w:r>
      <w:r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eastAsia="zh-CN"/>
        </w:rPr>
        <w:t>个）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firstLine="0" w:firstLineChars="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国家税务总局呼和浩特市回民区税务局第一税务分局（办税服务厅）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tabs>
          <w:tab w:val="left" w:pos="630"/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国家税务总局呼和浩特市玉泉区税务局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国家税务总局包头市九原区税务局第一税务分局（办税服务厅）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国家税务总局额尔古纳市税务局第一税务分局（办税服务厅）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国家税务总局新巴尔虎右旗税务局</w:t>
      </w:r>
      <w:r>
        <w:rPr>
          <w:rFonts w:hint="eastAsia"/>
          <w:color w:val="auto"/>
          <w:highlight w:val="none"/>
          <w:lang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国家税务总局扎赉特旗税务局第一税务分局（办税服务厅）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国家税务总局通辽市税务局第三税务分局（税收风险管理局）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国家税务总局开鲁县税务局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国家税务总局阿鲁科尔沁旗税务局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国家税务总局苏尼特右旗税务局第一税务分局（办税服务厅）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国家税务总局卓资县税务局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国家税务总局乌兰察布察哈尔高新技术开发区税务局</w:t>
      </w:r>
      <w:r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w w:val="95"/>
          <w:sz w:val="32"/>
          <w:szCs w:val="32"/>
          <w:highlight w:val="none"/>
          <w:lang w:eastAsia="zh-CN"/>
        </w:rPr>
        <w:tab/>
      </w:r>
      <w:r>
        <w:rPr>
          <w:rFonts w:hint="eastAsia"/>
          <w:color w:val="auto"/>
          <w:highlight w:val="none"/>
          <w:lang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firstLine="0" w:firstLineChars="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国家税务总局鄂尔多斯市东胜区税务局第一税务分局（办税服务厅）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firstLine="0" w:firstLineChars="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国家税务总局达拉特旗税务局达拉特经济开发区税务分局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20"/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 w:cs="仿宋_GB2312"/>
          <w:color w:val="auto"/>
          <w:w w:val="9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国家税务总局巴彦淖尔市税务局甘其毛都口岸税务分局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国家税务总局乌海市税务局第一稽查局</w:t>
      </w:r>
      <w:r>
        <w:rPr>
          <w:rFonts w:hint="eastAsia"/>
          <w:color w:val="auto"/>
          <w:highlight w:val="none"/>
          <w:lang w:eastAsia="zh-CN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val="en-US" w:eastAsia="zh-CN"/>
        </w:rPr>
        <w:tab/>
      </w: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国家税务总局阿拉善盟税务局第二税务分局（税收风险管理局）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firstLine="0" w:firstLineChars="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国家税务总局满洲里市税务局边境经济合作区税务分局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8" w:firstLineChars="200"/>
        <w:textAlignment w:val="auto"/>
        <w:rPr>
          <w:rFonts w:hint="eastAsia" w:eastAsia="仿宋_GB2312" w:cs="仿宋_GB2312"/>
          <w:color w:val="auto"/>
          <w:w w:val="90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国家税务总局二连浩特市税务局第一税务分局</w:t>
      </w:r>
      <w:r>
        <w:rPr>
          <w:rFonts w:hint="eastAsia" w:eastAsia="仿宋_GB2312" w:cs="仿宋_GB2312"/>
          <w:color w:val="auto"/>
          <w:w w:val="90"/>
          <w:sz w:val="32"/>
          <w:szCs w:val="32"/>
          <w:highlight w:val="none"/>
          <w:lang w:eastAsia="zh-CN"/>
        </w:rPr>
        <w:t>（税收风险管理局）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38" w:leftChars="304" w:firstLine="0" w:firstLineChars="0"/>
        <w:textAlignment w:val="auto"/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color w:val="auto"/>
          <w:w w:val="95"/>
          <w:sz w:val="32"/>
          <w:szCs w:val="32"/>
          <w:highlight w:val="none"/>
          <w:lang w:eastAsia="zh-CN"/>
        </w:rPr>
        <w:t>国家税务总局内蒙古自治区税务局第二税务分局（税收大数据和风险管理局）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69EFABD2"/>
    <w:rsid w:val="709FA23B"/>
    <w:rsid w:val="7564BCEC"/>
    <w:rsid w:val="77ADACD9"/>
    <w:rsid w:val="7D255B7E"/>
    <w:rsid w:val="7EF707E7"/>
    <w:rsid w:val="7F6F15CE"/>
    <w:rsid w:val="BFA6D229"/>
    <w:rsid w:val="E7F192FB"/>
    <w:rsid w:val="FCFCA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user</cp:lastModifiedBy>
  <dcterms:modified xsi:type="dcterms:W3CDTF">2026-06-10T18:49:22Z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