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附件1</w:t>
      </w:r>
    </w:p>
    <w:p>
      <w:pPr>
        <w:ind w:firstLine="4640" w:firstLineChars="1450"/>
        <w:rPr>
          <w:rFonts w:hint="eastAsia" w:ascii="黑体" w:hAnsi="黑体" w:eastAsia="黑体" w:cs="仿宋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w w:val="95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w w:val="95"/>
          <w:sz w:val="36"/>
          <w:szCs w:val="36"/>
        </w:rPr>
        <w:t>“内蒙古税务好新闻”评选活动参评作品信息表</w:t>
      </w:r>
    </w:p>
    <w:bookmarkEnd w:id="0"/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340"/>
        <w:gridCol w:w="1425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ind w:left="-840" w:leftChars="-400" w:firstLine="840" w:firstLineChars="3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电子邮箱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电子邮箱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电子邮箱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作品类别</w:t>
            </w:r>
          </w:p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（报刊杂志类、广播电视类、网络媒体类）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作品题目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作品刊发媒体名称、期号、时间和链接地址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名称：刊物、期号、栏目（版面）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时间：2023年*月*日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作品推荐理由</w:t>
            </w:r>
          </w:p>
        </w:tc>
        <w:tc>
          <w:tcPr>
            <w:tcW w:w="71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1.参评文字类需提供作品正文word文档。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2.参评广播电视类需提供作品音频、视频文件。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3.参评作品需提供作品刊发（播发）时间、具体媒体栏目名称等，并附采用作品准确链接地址。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EDC2BE-6ECC-4972-84C7-3391DAE859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A67032-BF42-4782-AA97-7F358C4CD29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D72931-377A-4CFB-81AE-2F9A0FC318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MzRmNTNlMDI0MWJjZjJkMjMyNmM0ZDdmNDUwMzAifQ=="/>
  </w:docVars>
  <w:rsids>
    <w:rsidRoot w:val="142129A5"/>
    <w:rsid w:val="142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2023-11-13T01:28:00Z</dcterms:created>
  <dc:creator>钱 钱  </dc:creator>
  <cp:lastModifiedBy>钱 钱  </cp:lastModifiedBy>
  <dcterms:modified xsi:type="dcterms:W3CDTF">2023-11-13T02:10:47Z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210A06B79DD0403CA73CD736318EB85F_11</vt:lpwstr>
  </property>
</Properties>
</file>