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_GB2312" w:hAnsi="黑体" w:eastAsia="仿宋_GB2312" w:cs="黑体"/>
          <w:kern w:val="0"/>
          <w:sz w:val="32"/>
          <w:szCs w:val="32"/>
          <w:shd w:val="clear" w:color="auto" w:fill="FFFFFF"/>
          <w:lang w:val="en-US" w:eastAsia="zh-CN"/>
        </w:rPr>
        <w:t>同一税务机关年度内对同一户纳税人税务检查原则上不超过一次，根据投诉举报、转办交办、风险扫描等掌握新的涉税违法线索、再次发现税款流失风险，或者需要执行国际条约、审计调查取证、异地协助调查等情形实施行政检查的除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335D"/>
    <w:rsid w:val="268E236C"/>
    <w:rsid w:val="69237FC1"/>
    <w:rsid w:val="6F3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2025-06-23T01:29:00Z</dcterms:created>
  <dc:creator>杨帆</dc:creator>
  <cp:lastModifiedBy>冉学东</cp:lastModifiedBy>
  <dcterms:modified xsi:type="dcterms:W3CDTF">2025-06-25T02:15:20Z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