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国家税务总局正蓝旗税务局全面依法行政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领导小组办公室关于202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法治政府建设情况</w:t>
      </w:r>
    </w:p>
    <w:p>
      <w:pPr>
        <w:keepNext w:val="0"/>
        <w:keepLines w:val="0"/>
        <w:pageBreakBefore w:val="0"/>
        <w:kinsoku/>
        <w:wordWrap/>
        <w:overflowPunct/>
        <w:topLinePunct w:val="0"/>
        <w:autoSpaceDE/>
        <w:autoSpaceDN/>
        <w:bidi w:val="0"/>
        <w:spacing w:line="640" w:lineRule="exact"/>
        <w:jc w:val="left"/>
        <w:textAlignment w:val="auto"/>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根据法治政府建设相关规定和《国家税务总局锡林郭勒盟税务局全面依法行政领导小组办公室关于做好2024年度法治政府建设情况报告的通知》要求，对照中共中央、国务院印发的《法治政府建设实施纲要（2021-2025年）》，</w:t>
      </w:r>
      <w:r>
        <w:rPr>
          <w:rFonts w:hint="eastAsia" w:ascii="仿宋_GB2312" w:hAnsi="仿宋_GB2312" w:eastAsia="仿宋_GB2312" w:cs="仿宋_GB2312"/>
          <w:sz w:val="32"/>
          <w:szCs w:val="32"/>
        </w:rPr>
        <w:t>正蓝旗税务局</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围绕税收中心工作，扎实推进法治税务建设，依法治税工作取得明显成效，现将有关情况报告如下</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napToGrid w:val="0"/>
          <w:kern w:val="0"/>
          <w:sz w:val="32"/>
          <w:szCs w:val="32"/>
          <w:lang w:val="en-US" w:eastAsia="zh-CN" w:bidi="ar-SA"/>
        </w:rPr>
      </w:pPr>
      <w:r>
        <w:rPr>
          <w:rFonts w:hint="eastAsia" w:ascii="黑体" w:hAnsi="黑体" w:eastAsia="黑体" w:cs="黑体"/>
          <w:b w:val="0"/>
          <w:bCs w:val="0"/>
          <w:snapToGrid w:val="0"/>
          <w:kern w:val="0"/>
          <w:sz w:val="32"/>
          <w:szCs w:val="32"/>
          <w:lang w:val="en-US" w:eastAsia="zh-CN" w:bidi="ar-SA"/>
        </w:rPr>
        <w:t>一、2024年度工作开展情况</w:t>
      </w:r>
    </w:p>
    <w:p>
      <w:pPr>
        <w:pStyle w:val="5"/>
        <w:numPr>
          <w:ilvl w:val="0"/>
          <w:numId w:val="1"/>
        </w:numPr>
        <w:adjustRightInd w:val="0"/>
        <w:snapToGrid w:val="0"/>
        <w:spacing w:line="560" w:lineRule="exact"/>
        <w:ind w:left="0" w:leftChars="0" w:firstLine="640" w:firstLineChars="200"/>
        <w:rPr>
          <w:rFonts w:hint="eastAsia" w:ascii="楷体_GB2312" w:hAnsi="楷体_GB2312" w:eastAsia="楷体_GB2312" w:cs="楷体_GB2312"/>
          <w:snapToGrid w:val="0"/>
          <w:w w:val="100"/>
          <w:kern w:val="0"/>
          <w:sz w:val="32"/>
          <w:szCs w:val="32"/>
          <w:lang w:val="en-US" w:eastAsia="zh-CN" w:bidi="ar-SA"/>
        </w:rPr>
      </w:pPr>
      <w:r>
        <w:rPr>
          <w:rFonts w:hint="eastAsia" w:ascii="楷体_GB2312" w:hAnsi="楷体_GB2312" w:eastAsia="楷体_GB2312" w:cs="楷体_GB2312"/>
          <w:snapToGrid w:val="0"/>
          <w:w w:val="100"/>
          <w:kern w:val="0"/>
          <w:sz w:val="32"/>
          <w:szCs w:val="32"/>
          <w:lang w:val="en-US" w:eastAsia="zh-CN" w:bidi="ar-SA"/>
        </w:rPr>
        <w:t>深入学习贯彻习近平法治思想，夯实依法治税思想根基</w:t>
      </w:r>
    </w:p>
    <w:p>
      <w:pPr>
        <w:keepNext w:val="0"/>
        <w:keepLines w:val="0"/>
        <w:pageBreakBefore w:val="0"/>
        <w:widowControl/>
        <w:numPr>
          <w:ilvl w:val="0"/>
          <w:numId w:val="0"/>
        </w:numPr>
        <w:suppressLineNumbers w:val="0"/>
        <w:kinsoku/>
        <w:wordWrap/>
        <w:topLinePunct w:val="0"/>
        <w:bidi w:val="0"/>
        <w:adjustRightInd w:val="0"/>
        <w:spacing w:line="560" w:lineRule="exact"/>
        <w:ind w:firstLine="640" w:firstLineChars="200"/>
        <w:jc w:val="both"/>
        <w:rPr>
          <w:sz w:val="32"/>
          <w:szCs w:val="32"/>
        </w:rPr>
      </w:pPr>
      <w:r>
        <w:rPr>
          <w:rFonts w:ascii="仿宋_GB2312" w:hAnsi="宋体" w:eastAsia="仿宋_GB2312" w:cs="仿宋_GB2312"/>
          <w:color w:val="000000"/>
          <w:kern w:val="0"/>
          <w:sz w:val="32"/>
          <w:szCs w:val="32"/>
          <w:lang w:val="en-US" w:eastAsia="zh-CN" w:bidi="ar"/>
        </w:rPr>
        <w:t>习近平法治思想是全面依法治国的根本遵循和行动指</w:t>
      </w:r>
      <w:r>
        <w:rPr>
          <w:rFonts w:hint="eastAsia" w:ascii="仿宋_GB2312" w:hAnsi="宋体" w:eastAsia="仿宋_GB2312" w:cs="仿宋_GB2312"/>
          <w:color w:val="000000"/>
          <w:kern w:val="0"/>
          <w:sz w:val="32"/>
          <w:szCs w:val="32"/>
          <w:lang w:val="en-US" w:eastAsia="zh-CN" w:bidi="ar"/>
        </w:rPr>
        <w:t>南，正蓝旗税务局党委深入学习贯彻习近平总书记全面依法治国新理念、新思想、新战略和习近平总书记关于税收工作的重要论述，将党章党规和法律法规列入年度学习计划，加强党对税收法治工作的全面领导，切实发挥党委对法治税务建</w:t>
      </w:r>
      <w:r>
        <w:rPr>
          <w:rFonts w:hint="eastAsia" w:ascii="仿宋_GB2312" w:hAnsi="仿宋_GB2312" w:eastAsia="仿宋_GB2312" w:cs="仿宋_GB2312"/>
          <w:kern w:val="2"/>
          <w:sz w:val="32"/>
          <w:szCs w:val="32"/>
          <w:lang w:val="en-US" w:eastAsia="zh-CN" w:bidi="ar-SA"/>
        </w:rPr>
        <w:t>设的统筹作用。做好2024年度全员培训计划，将学习掌握习近平法治思想作为重要必修内容，深入系统学习习近平总书记《论坚持全面依法治国》《习近平关于全面依法治国论述摘编》《习近平关于依规治党论述摘编》《习近平法治思想学习纲要》等。2024年度通过开展党委理论学习中心组学习4次，专家辅导1次、开展专题读书班1期、老干部课堂等形式实现党委带头领学，组织学习研讨6次，党支部书记讲党课4次、党支部集中学习24次、青年理论学习小组学习3次，切实加强习近平法治思想的学习。</w:t>
      </w:r>
      <w:r>
        <w:rPr>
          <w:rFonts w:hint="eastAsia" w:ascii="仿宋_GB2312" w:hAnsi="宋体" w:eastAsia="仿宋_GB2312" w:cs="仿宋_GB2312"/>
          <w:color w:val="000000"/>
          <w:kern w:val="0"/>
          <w:sz w:val="32"/>
          <w:szCs w:val="32"/>
          <w:lang w:val="en-US" w:eastAsia="zh-CN" w:bidi="ar"/>
        </w:rPr>
        <w:t>严格落实税收执法责任制，持续加强内控管理，坚持依法依规组织税费收入，贯彻落实好各项税收优惠政策，提高税收执法的精确性，不断优化税收执法方式，持续提升纳税人、缴费人获得感和满意度，切实把习近平法治思想贯彻到全面依法治税的各个环节。</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w w:val="95"/>
          <w:kern w:val="0"/>
          <w:sz w:val="32"/>
          <w:szCs w:val="32"/>
          <w:lang w:val="en-US" w:eastAsia="zh-CN" w:bidi="ar-SA"/>
        </w:rPr>
      </w:pPr>
      <w:r>
        <w:rPr>
          <w:rFonts w:hint="eastAsia" w:ascii="楷体" w:hAnsi="楷体" w:eastAsia="楷体" w:cs="楷体"/>
          <w:snapToGrid w:val="0"/>
          <w:kern w:val="0"/>
          <w:sz w:val="32"/>
          <w:szCs w:val="32"/>
          <w:lang w:val="en-US" w:eastAsia="zh-CN" w:bidi="ar-SA"/>
        </w:rPr>
        <w:t>（二）</w:t>
      </w:r>
      <w:r>
        <w:rPr>
          <w:rFonts w:hint="eastAsia" w:ascii="楷体_GB2312" w:hAnsi="楷体_GB2312" w:eastAsia="楷体_GB2312" w:cs="楷体_GB2312"/>
          <w:snapToGrid w:val="0"/>
          <w:color w:val="auto"/>
          <w:w w:val="98"/>
          <w:kern w:val="0"/>
          <w:sz w:val="32"/>
          <w:szCs w:val="32"/>
          <w:lang w:val="en-US" w:eastAsia="zh-CN" w:bidi="ar-SA"/>
        </w:rPr>
        <w:t>健全政府机构职能体系</w:t>
      </w:r>
      <w:r>
        <w:rPr>
          <w:rFonts w:hint="eastAsia" w:ascii="楷体_GB2312" w:hAnsi="楷体_GB2312" w:eastAsia="楷体_GB2312" w:cs="楷体_GB2312"/>
          <w:snapToGrid w:val="0"/>
          <w:color w:val="0000FF"/>
          <w:w w:val="98"/>
          <w:kern w:val="0"/>
          <w:sz w:val="32"/>
          <w:szCs w:val="32"/>
          <w:lang w:val="en-US" w:eastAsia="zh-CN" w:bidi="ar-SA"/>
        </w:rPr>
        <w:t>，</w:t>
      </w:r>
      <w:r>
        <w:rPr>
          <w:rFonts w:hint="eastAsia" w:ascii="楷体_GB2312" w:hAnsi="楷体_GB2312" w:eastAsia="楷体_GB2312" w:cs="楷体_GB2312"/>
          <w:snapToGrid w:val="0"/>
          <w:w w:val="98"/>
          <w:kern w:val="0"/>
          <w:sz w:val="32"/>
          <w:szCs w:val="32"/>
          <w:lang w:val="en-US" w:eastAsia="zh-CN" w:bidi="ar-SA"/>
        </w:rPr>
        <w:t>依法全面履行税收工作职能</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正蓝旗税务局严格落实依法组织税费收入原则，认真贯彻落实税收相关法律法规，税费优惠应享尽享，坚决不收“过头税费”。</w:t>
      </w:r>
      <w:r>
        <w:rPr>
          <w:rFonts w:hint="eastAsia" w:ascii="仿宋_GB2312" w:hAnsi="仿宋_GB2312" w:eastAsia="仿宋_GB2312" w:cs="仿宋_GB2312"/>
          <w:snapToGrid w:val="0"/>
          <w:kern w:val="0"/>
          <w:sz w:val="32"/>
          <w:szCs w:val="32"/>
          <w:lang w:val="en-US" w:eastAsia="zh-CN" w:bidi="ar-SA"/>
        </w:rPr>
        <w:t>主动适应改革发展需要，通过多种方式落实落细各项税费优惠政策，通过“一政策一方案”做好精准推送、风险防控、内控管理、核算分析、系统支撑、数据共享、部门协作等工作，推出税费优惠政策精准推送“四个有人管”任务清单、落实“非接触式”办税服务等措施，帮助企业</w:t>
      </w:r>
      <w:r>
        <w:rPr>
          <w:rFonts w:hint="eastAsia" w:ascii="仿宋_GB2312" w:hAnsi="仿宋_GB2312" w:eastAsia="仿宋_GB2312" w:cs="仿宋_GB2312"/>
          <w:sz w:val="32"/>
          <w:szCs w:val="32"/>
          <w:lang w:val="en-US" w:eastAsia="zh-CN"/>
        </w:rPr>
        <w:t>正确享受税费优惠政策，缓解生产经营资金压力，不断优化税收营商环境。2024年度共计精准推送税费优惠政策数据120次、开展纳税人学堂11次、开展线下集中培训5次、推送政策热点知识小贴士16期。积极开展普法宣传教育工作，通过开展“税法六进”，向居民发放城乡居民两险、税费优惠政策和法律知识宣传册200余份，科普民法典知识，加强普法教育，提升纳税人法制观念。</w:t>
      </w:r>
      <w:r>
        <w:rPr>
          <w:rFonts w:hint="eastAsia" w:ascii="仿宋_GB2312" w:hAnsi="仿宋_GB2312" w:eastAsia="仿宋_GB2312" w:cs="仿宋_GB2312"/>
          <w:snapToGrid w:val="0"/>
          <w:kern w:val="0"/>
          <w:sz w:val="32"/>
          <w:szCs w:val="32"/>
          <w:lang w:val="en-US" w:eastAsia="zh-CN" w:bidi="ar-SA"/>
        </w:rPr>
        <w:t>深入开展分析预测和税源管控，结合内外部督察审计，加强税源点建设，依法依规组织税费收入，为支持保障地方经济发展贡献力量。</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楷体_GB2312" w:hAnsi="楷体_GB2312" w:eastAsia="楷体_GB2312" w:cs="楷体_GB2312"/>
          <w:snapToGrid w:val="0"/>
          <w:w w:val="98"/>
          <w:kern w:val="0"/>
          <w:sz w:val="32"/>
          <w:szCs w:val="32"/>
          <w:lang w:val="en-US" w:eastAsia="zh-CN" w:bidi="ar-SA"/>
        </w:rPr>
      </w:pPr>
      <w:r>
        <w:rPr>
          <w:rFonts w:hint="eastAsia" w:ascii="楷体" w:hAnsi="楷体" w:eastAsia="楷体" w:cs="楷体"/>
          <w:snapToGrid w:val="0"/>
          <w:kern w:val="0"/>
          <w:sz w:val="32"/>
          <w:szCs w:val="32"/>
          <w:lang w:val="en-US" w:eastAsia="zh-CN" w:bidi="ar-SA"/>
        </w:rPr>
        <w:t>（三）</w:t>
      </w:r>
      <w:r>
        <w:rPr>
          <w:rFonts w:hint="eastAsia" w:ascii="楷体_GB2312" w:hAnsi="楷体_GB2312" w:eastAsia="楷体_GB2312" w:cs="楷体_GB2312"/>
          <w:snapToGrid w:val="0"/>
          <w:w w:val="98"/>
          <w:kern w:val="0"/>
          <w:sz w:val="32"/>
          <w:szCs w:val="32"/>
          <w:lang w:val="en-US" w:eastAsia="zh-CN" w:bidi="ar-SA"/>
        </w:rPr>
        <w:t>健全依法行政制度体系，不断提高税收制度建设质量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坚持税收法定原则，依法依规开展税收执法各项工作，深入推进精确执法、精细服务、精准监管、精诚共治，做到有法可依、执法必严、违法必究。正蓝旗税务局</w:t>
      </w:r>
      <w:r>
        <w:rPr>
          <w:rFonts w:hint="eastAsia" w:ascii="仿宋_GB2312" w:hAnsi="仿宋_GB2312" w:eastAsia="仿宋_GB2312" w:cs="仿宋_GB2312"/>
          <w:sz w:val="32"/>
          <w:szCs w:val="32"/>
        </w:rPr>
        <w:t>全面推行行政执法公示制度、执法全过程记录制度、重大执法决定法制审核制度，明确责任主体和工作职责，充分依托税收征管规范、纳税服务规范和金税系统，做到严格规范公正文明执法，使税务执法权力在阳光下运行。</w:t>
      </w:r>
      <w:r>
        <w:rPr>
          <w:rFonts w:hint="eastAsia" w:ascii="仿宋_GB2312" w:hAnsi="仿宋_GB2312" w:eastAsia="仿宋_GB2312" w:cs="仿宋_GB2312"/>
          <w:sz w:val="32"/>
          <w:szCs w:val="32"/>
          <w:lang w:eastAsia="zh-CN"/>
        </w:rPr>
        <w:t>严格执行国家税务总局制定的税务证明事项告知承诺制度、6项涉税事项推行非强制性执法方式等工作制度，减轻纳税人负担。</w:t>
      </w:r>
      <w:r>
        <w:rPr>
          <w:rFonts w:hint="eastAsia" w:ascii="仿宋_GB2312" w:hAnsi="仿宋_GB2312" w:eastAsia="仿宋_GB2312" w:cs="仿宋_GB2312"/>
          <w:sz w:val="32"/>
          <w:szCs w:val="32"/>
        </w:rPr>
        <w:t>完善日常工作制度，提升行政运转效率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正蓝旗税务局明确</w:t>
      </w:r>
      <w:r>
        <w:rPr>
          <w:rFonts w:hint="eastAsia" w:ascii="仿宋_GB2312" w:hAnsi="仿宋_GB2312" w:eastAsia="仿宋_GB2312" w:cs="仿宋_GB2312"/>
          <w:sz w:val="32"/>
          <w:szCs w:val="32"/>
          <w:lang w:eastAsia="zh-CN"/>
        </w:rPr>
        <w:t>分工</w:t>
      </w:r>
      <w:r>
        <w:rPr>
          <w:rFonts w:hint="eastAsia" w:ascii="仿宋_GB2312" w:hAnsi="仿宋_GB2312" w:eastAsia="仿宋_GB2312" w:cs="仿宋_GB2312"/>
          <w:sz w:val="32"/>
          <w:szCs w:val="32"/>
        </w:rPr>
        <w:t>，科学定责，</w:t>
      </w:r>
      <w:r>
        <w:rPr>
          <w:rFonts w:hint="eastAsia" w:ascii="仿宋_GB2312" w:hAnsi="仿宋_GB2312" w:eastAsia="仿宋_GB2312" w:cs="仿宋_GB2312"/>
          <w:sz w:val="32"/>
          <w:szCs w:val="32"/>
          <w:lang w:eastAsia="zh-CN"/>
        </w:rPr>
        <w:t>不断优化细化行政执法过程中的堵点，研究学习执法过程中的难点，通过共同学习、参加培训、邀请专业法律顾问进行咨询等方式，加强行政执法精准度。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w w:val="98"/>
          <w:kern w:val="0"/>
          <w:sz w:val="32"/>
          <w:szCs w:val="32"/>
          <w:lang w:val="en-US" w:eastAsia="zh-CN" w:bidi="ar-SA"/>
        </w:rPr>
      </w:pPr>
      <w:r>
        <w:rPr>
          <w:rFonts w:hint="eastAsia" w:ascii="楷体" w:hAnsi="楷体" w:eastAsia="楷体" w:cs="楷体"/>
          <w:snapToGrid w:val="0"/>
          <w:kern w:val="0"/>
          <w:sz w:val="32"/>
          <w:szCs w:val="32"/>
          <w:lang w:val="en-US" w:eastAsia="zh-CN" w:bidi="ar-SA"/>
        </w:rPr>
        <w:t>（四）</w:t>
      </w:r>
      <w:r>
        <w:rPr>
          <w:rFonts w:hint="eastAsia" w:ascii="楷体_GB2312" w:hAnsi="楷体_GB2312" w:eastAsia="楷体_GB2312" w:cs="楷体_GB2312"/>
          <w:snapToGrid w:val="0"/>
          <w:w w:val="98"/>
          <w:kern w:val="0"/>
          <w:sz w:val="32"/>
          <w:szCs w:val="32"/>
          <w:lang w:val="en-US" w:eastAsia="zh-CN" w:bidi="ar-SA"/>
        </w:rPr>
        <w:t>健全行政决策制度体系，持续推进依法科学民主决策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z w:val="32"/>
          <w:szCs w:val="32"/>
        </w:rPr>
        <w:t>为推进依法科学民主决策，</w:t>
      </w:r>
      <w:r>
        <w:rPr>
          <w:rFonts w:hint="eastAsia" w:ascii="仿宋_GB2312" w:hAnsi="仿宋" w:eastAsia="仿宋_GB2312"/>
          <w:snapToGrid w:val="0"/>
          <w:sz w:val="32"/>
          <w:szCs w:val="32"/>
        </w:rPr>
        <w:t>切实加强对税务行政诉讼、税务行政复议、重大税务案件审理工作的领导</w:t>
      </w:r>
      <w:r>
        <w:rPr>
          <w:rFonts w:hint="eastAsia" w:ascii="仿宋_GB2312" w:hAnsi="仿宋" w:eastAsia="仿宋_GB2312"/>
          <w:snapToGrid w:val="0"/>
          <w:sz w:val="32"/>
          <w:szCs w:val="32"/>
          <w:lang w:eastAsia="zh-CN"/>
        </w:rPr>
        <w:t>，</w:t>
      </w:r>
      <w:r>
        <w:rPr>
          <w:rFonts w:hint="eastAsia" w:ascii="仿宋_GB2312" w:hAnsi="仿宋_GB2312" w:eastAsia="仿宋_GB2312" w:cs="仿宋_GB2312"/>
          <w:sz w:val="32"/>
          <w:szCs w:val="32"/>
        </w:rPr>
        <w:t>正蓝旗税务局成立了依法行政领导小组、税务行政应诉工作领导小组</w:t>
      </w:r>
      <w:r>
        <w:rPr>
          <w:rFonts w:hint="eastAsia" w:ascii="仿宋_GB2312" w:hAnsi="仿宋_GB2312" w:eastAsia="仿宋_GB2312" w:cs="仿宋_GB2312"/>
          <w:sz w:val="32"/>
          <w:szCs w:val="32"/>
          <w:lang w:eastAsia="zh-CN"/>
        </w:rPr>
        <w:t>、税务行政复议委员会、重大税务案件审理委员会、</w:t>
      </w:r>
      <w:r>
        <w:rPr>
          <w:rFonts w:hint="eastAsia" w:ascii="仿宋_GB2312" w:hAnsi="仿宋_GB2312" w:eastAsia="仿宋_GB2312" w:cs="仿宋_GB2312"/>
          <w:sz w:val="32"/>
          <w:szCs w:val="32"/>
        </w:rPr>
        <w:t>重大执法决定法制审核委员会等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进一步完善依法科学民主决策机制，</w:t>
      </w:r>
      <w:r>
        <w:rPr>
          <w:rFonts w:hint="eastAsia" w:ascii="仿宋_GB2312" w:hAnsi="仿宋" w:eastAsia="仿宋_GB2312"/>
          <w:snapToGrid w:val="0"/>
          <w:sz w:val="32"/>
          <w:szCs w:val="32"/>
        </w:rPr>
        <w:t>保障依法科学决策。</w:t>
      </w:r>
      <w:r>
        <w:rPr>
          <w:rFonts w:hint="eastAsia" w:ascii="仿宋_GB2312" w:hAnsi="仿宋" w:eastAsia="仿宋_GB2312"/>
          <w:snapToGrid w:val="0"/>
          <w:sz w:val="32"/>
          <w:szCs w:val="32"/>
          <w:lang w:eastAsia="zh-CN"/>
        </w:rPr>
        <w:t>积极与</w:t>
      </w:r>
      <w:r>
        <w:rPr>
          <w:rFonts w:hint="eastAsia" w:ascii="仿宋_GB2312" w:hAnsi="仿宋_GB2312" w:eastAsia="仿宋_GB2312" w:cs="仿宋_GB2312"/>
          <w:sz w:val="32"/>
          <w:szCs w:val="32"/>
        </w:rPr>
        <w:t>盟局法律顾问团队</w:t>
      </w:r>
      <w:r>
        <w:rPr>
          <w:rFonts w:hint="eastAsia" w:ascii="仿宋_GB2312" w:hAnsi="仿宋_GB2312" w:eastAsia="仿宋_GB2312" w:cs="仿宋_GB2312"/>
          <w:sz w:val="32"/>
          <w:szCs w:val="32"/>
          <w:lang w:eastAsia="zh-CN"/>
        </w:rPr>
        <w:t>沟通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正蓝旗税务局</w:t>
      </w:r>
      <w:r>
        <w:rPr>
          <w:rFonts w:hint="eastAsia" w:ascii="仿宋_GB2312" w:hAnsi="仿宋_GB2312" w:eastAsia="仿宋_GB2312" w:cs="仿宋_GB2312"/>
          <w:sz w:val="32"/>
          <w:szCs w:val="32"/>
        </w:rPr>
        <w:t>推行依法科学民主决策、维护国家及群众合法权益、促进社会公平正义方面</w:t>
      </w:r>
      <w:r>
        <w:rPr>
          <w:rFonts w:hint="eastAsia" w:ascii="仿宋_GB2312" w:hAnsi="仿宋_GB2312" w:eastAsia="仿宋_GB2312" w:cs="仿宋_GB2312"/>
          <w:sz w:val="32"/>
          <w:szCs w:val="32"/>
          <w:lang w:eastAsia="zh-CN"/>
        </w:rPr>
        <w:t>提供有效指导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防范和控制税务行政行为的法律风险，节约税务行政成本。</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napToGrid w:val="0"/>
          <w:kern w:val="0"/>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w w:val="98"/>
          <w:kern w:val="0"/>
          <w:sz w:val="32"/>
          <w:szCs w:val="32"/>
          <w:lang w:val="en-US" w:eastAsia="zh-CN" w:bidi="ar-SA"/>
        </w:rPr>
      </w:pPr>
      <w:r>
        <w:rPr>
          <w:rFonts w:hint="eastAsia" w:ascii="楷体" w:hAnsi="楷体" w:eastAsia="楷体" w:cs="楷体"/>
          <w:snapToGrid w:val="0"/>
          <w:kern w:val="0"/>
          <w:sz w:val="32"/>
          <w:szCs w:val="32"/>
          <w:lang w:val="en-US" w:eastAsia="zh-CN" w:bidi="ar-SA"/>
        </w:rPr>
        <w:t>（五）</w:t>
      </w:r>
      <w:r>
        <w:rPr>
          <w:rFonts w:hint="eastAsia" w:ascii="楷体_GB2312" w:hAnsi="楷体_GB2312" w:eastAsia="楷体_GB2312" w:cs="楷体_GB2312"/>
          <w:snapToGrid w:val="0"/>
          <w:w w:val="98"/>
          <w:kern w:val="0"/>
          <w:sz w:val="32"/>
          <w:szCs w:val="32"/>
          <w:lang w:val="en-US" w:eastAsia="zh-CN" w:bidi="ar-SA"/>
        </w:rPr>
        <w:t>健全行政执法工作体系，坚持严格规范公正文明执法</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正蓝旗税务局作为正蓝旗全面依法治旗委员会的成员单位，严格落实法治政府建设任务，制定了《国家税务总局正蓝旗税务局行政执法公示实施办法（试行）》《国家税务总局正蓝旗税务局优化执法方式全面推行“三项制度”实施方案》《国家税务总局正蓝旗税务局执法全过程记录设备管理办法》等制度，保障税收执法合法有效，维护行政相对人的合法权益，确保税务执法公正。</w:t>
      </w:r>
      <w:r>
        <w:rPr>
          <w:rFonts w:hint="eastAsia" w:ascii="仿宋_GB2312" w:hAnsi="仿宋_GB2312" w:eastAsia="仿宋_GB2312" w:cs="仿宋_GB2312"/>
          <w:b w:val="0"/>
          <w:bCs w:val="0"/>
          <w:sz w:val="32"/>
          <w:szCs w:val="32"/>
          <w:lang w:val="en-US" w:eastAsia="zh-CN"/>
        </w:rPr>
        <w:t>规范税务执法人员资格管理，严格实行行政执法人员持证上岗制度。</w:t>
      </w:r>
      <w:r>
        <w:rPr>
          <w:rFonts w:hint="eastAsia" w:ascii="仿宋_GB2312" w:hAnsi="仿宋_GB2312" w:eastAsia="仿宋_GB2312" w:cs="仿宋_GB2312"/>
          <w:b w:val="0"/>
          <w:bCs w:val="0"/>
          <w:sz w:val="32"/>
          <w:szCs w:val="32"/>
          <w:highlight w:val="none"/>
          <w:lang w:val="en-US" w:eastAsia="zh-CN"/>
        </w:rPr>
        <w:t>正蓝旗税务局现持有税收执法资格证书人数68人，</w:t>
      </w:r>
      <w:r>
        <w:rPr>
          <w:rFonts w:hint="eastAsia" w:ascii="仿宋_GB2312" w:hAnsi="仿宋_GB2312" w:eastAsia="仿宋_GB2312" w:cs="仿宋_GB2312"/>
          <w:b w:val="0"/>
          <w:bCs w:val="0"/>
          <w:sz w:val="32"/>
          <w:szCs w:val="32"/>
          <w:lang w:val="en-US" w:eastAsia="zh-CN"/>
        </w:rPr>
        <w:t>实现税收执法岗位人员全员持证。</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w w:val="98"/>
          <w:kern w:val="0"/>
          <w:sz w:val="32"/>
          <w:szCs w:val="32"/>
          <w:lang w:val="en-US" w:eastAsia="zh-CN" w:bidi="ar-SA"/>
        </w:rPr>
      </w:pPr>
      <w:r>
        <w:rPr>
          <w:rFonts w:hint="eastAsia" w:ascii="楷体" w:hAnsi="楷体" w:eastAsia="楷体" w:cs="楷体"/>
          <w:snapToGrid w:val="0"/>
          <w:kern w:val="0"/>
          <w:sz w:val="32"/>
          <w:szCs w:val="32"/>
          <w:lang w:val="en-US" w:eastAsia="zh-CN" w:bidi="ar-SA"/>
        </w:rPr>
        <w:t>（六）</w:t>
      </w:r>
      <w:r>
        <w:rPr>
          <w:rFonts w:hint="eastAsia" w:ascii="楷体_GB2312" w:hAnsi="楷体_GB2312" w:eastAsia="楷体_GB2312" w:cs="楷体_GB2312"/>
          <w:snapToGrid w:val="0"/>
          <w:w w:val="98"/>
          <w:kern w:val="0"/>
          <w:sz w:val="32"/>
          <w:szCs w:val="32"/>
          <w:lang w:val="en-US" w:eastAsia="zh-CN" w:bidi="ar-SA"/>
        </w:rPr>
        <w:t>健全突发事件应对体系，依法预防处置重大突发事件</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正蓝旗税务局</w:t>
      </w:r>
      <w:r>
        <w:rPr>
          <w:rFonts w:hint="eastAsia" w:ascii="仿宋_GB2312" w:hAnsi="仿宋_GB2312" w:eastAsia="仿宋_GB2312" w:cs="仿宋_GB2312"/>
          <w:sz w:val="32"/>
          <w:szCs w:val="32"/>
          <w:lang w:eastAsia="zh-CN"/>
        </w:rPr>
        <w:t>针对新形势、新要求，对税制改革申报、电子税务局推行、电子发票推行、个税改革申报、全电发票推行等重要工作及时制定应急预案，尤其在办税服务厅不断健全和完善突发事件应急预案，并对全员进行培训和演练，提高应对重大突发事件的能力。按季度召开税费诉求及舆情分析联席会议，联系各部门收集广大纳税人的各项税费诉求，提前分析有可能产生舆情的风险点，提前防范，合理处置，</w:t>
      </w:r>
      <w:r>
        <w:rPr>
          <w:rFonts w:hint="eastAsia" w:ascii="仿宋_GB2312" w:hAnsi="仿宋_GB2312" w:eastAsia="仿宋_GB2312" w:cs="仿宋_GB2312"/>
          <w:sz w:val="32"/>
          <w:szCs w:val="32"/>
          <w:lang w:val="en-US" w:eastAsia="zh-CN"/>
        </w:rPr>
        <w:t>2024年度共计收集解决纳税人诉求问题共计21个。</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kern w:val="0"/>
          <w:sz w:val="32"/>
          <w:szCs w:val="32"/>
          <w:lang w:val="en-US" w:eastAsia="zh-CN" w:bidi="ar-SA"/>
        </w:rPr>
      </w:pPr>
      <w:r>
        <w:rPr>
          <w:rFonts w:hint="eastAsia" w:ascii="楷体" w:hAnsi="楷体" w:eastAsia="楷体" w:cs="楷体"/>
          <w:snapToGrid w:val="0"/>
          <w:kern w:val="0"/>
          <w:sz w:val="32"/>
          <w:szCs w:val="32"/>
          <w:lang w:val="en-US" w:eastAsia="zh-CN" w:bidi="ar-SA"/>
        </w:rPr>
        <w:t>（七）</w:t>
      </w:r>
      <w:r>
        <w:rPr>
          <w:rFonts w:hint="eastAsia" w:ascii="楷体_GB2312" w:hAnsi="楷体_GB2312" w:eastAsia="楷体_GB2312" w:cs="楷体_GB2312"/>
          <w:snapToGrid w:val="0"/>
          <w:kern w:val="0"/>
          <w:sz w:val="32"/>
          <w:szCs w:val="32"/>
          <w:lang w:val="en-US" w:eastAsia="zh-CN" w:bidi="ar-SA"/>
        </w:rPr>
        <w:t>健全社会矛盾纠纷行政预防调处化解体系，完善权利救济和纠纷化解机制</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仿宋_GB2312" w:cs="黑体"/>
          <w:snapToGrid w:val="0"/>
          <w:kern w:val="0"/>
          <w:sz w:val="32"/>
          <w:szCs w:val="32"/>
          <w:lang w:val="en-US" w:eastAsia="zh-CN" w:bidi="ar-SA"/>
        </w:rPr>
      </w:pPr>
      <w:r>
        <w:rPr>
          <w:rFonts w:hint="eastAsia" w:ascii="仿宋_GB2312" w:hAnsi="仿宋_GB2312" w:eastAsia="仿宋_GB2312" w:cs="仿宋_GB2312"/>
          <w:sz w:val="32"/>
          <w:szCs w:val="32"/>
        </w:rPr>
        <w:t>正蓝旗税务局</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税务行政应诉工作领导小组</w:t>
      </w:r>
      <w:r>
        <w:rPr>
          <w:rFonts w:hint="eastAsia" w:ascii="仿宋_GB2312" w:hAnsi="仿宋_GB2312" w:eastAsia="仿宋_GB2312" w:cs="仿宋_GB2312"/>
          <w:sz w:val="32"/>
          <w:szCs w:val="32"/>
          <w:lang w:eastAsia="zh-CN"/>
        </w:rPr>
        <w:t>、税务行政复议委员会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通过办税厅、行政执法信息平台等公示监督救济渠道，积极应对纳税人诉求，化解矛盾纠纷。</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税</w:t>
      </w:r>
      <w:r>
        <w:rPr>
          <w:rFonts w:hint="eastAsia" w:ascii="仿宋_GB2312" w:hAnsi="仿宋_GB2312" w:eastAsia="仿宋_GB2312" w:cs="仿宋_GB2312"/>
          <w:sz w:val="32"/>
          <w:szCs w:val="32"/>
          <w:highlight w:val="none"/>
        </w:rPr>
        <w:t>务</w:t>
      </w:r>
      <w:r>
        <w:rPr>
          <w:rFonts w:hint="eastAsia" w:ascii="仿宋_GB2312" w:hAnsi="仿宋_GB2312" w:eastAsia="仿宋_GB2312" w:cs="仿宋_GB2312"/>
          <w:sz w:val="32"/>
          <w:szCs w:val="32"/>
          <w:lang w:eastAsia="zh-CN"/>
        </w:rPr>
        <w:t>行政复议和税务行政诉讼。建立“枫桥税务分局”两处，</w:t>
      </w:r>
      <w:r>
        <w:rPr>
          <w:rFonts w:hint="eastAsia" w:ascii="仿宋_GB2312" w:hAnsi="仿宋_GB2312" w:eastAsia="仿宋_GB2312" w:cs="仿宋_GB2312"/>
          <w:sz w:val="32"/>
          <w:szCs w:val="32"/>
          <w:lang w:val="en-US" w:eastAsia="zh-CN"/>
        </w:rPr>
        <w:t>推行分级分类联动调解机制，根据矛盾争议的不同类型和严重程度，精准识别矛盾争议类型，分级分类进行推送。组建新时代“枫桥式”税务分局先锋队就地打造矛盾化解便捷区——争议调解室，组建专业化的团队，提供“一站式”矛盾争议处理服务，采用“先放气，后说理”、“先把脉，后治病”、“先戴帽，后和好”、“先普法，后服务”、“先执法，后监督”的“五先五后”调解策略。</w:t>
      </w:r>
      <w:r>
        <w:rPr>
          <w:rFonts w:hint="eastAsia" w:ascii="仿宋_GB2312" w:hAnsi="仿宋_GB2312" w:eastAsia="仿宋_GB2312" w:cs="仿宋_GB2312"/>
          <w:sz w:val="32"/>
          <w:szCs w:val="32"/>
          <w:lang w:eastAsia="zh-CN"/>
        </w:rPr>
        <w:t>畅通纳税人缴费人诉求表达、利益协调和权益保障，全力舒解纳税人缴费人的困难。</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kern w:val="0"/>
          <w:sz w:val="32"/>
          <w:szCs w:val="32"/>
          <w:lang w:val="en-US" w:eastAsia="zh-CN" w:bidi="ar-SA"/>
        </w:rPr>
      </w:pPr>
      <w:r>
        <w:rPr>
          <w:rFonts w:hint="eastAsia" w:ascii="楷体" w:hAnsi="楷体" w:eastAsia="楷体" w:cs="楷体"/>
          <w:snapToGrid w:val="0"/>
          <w:kern w:val="0"/>
          <w:sz w:val="32"/>
          <w:szCs w:val="32"/>
          <w:lang w:val="en-US" w:eastAsia="zh-CN" w:bidi="ar-SA"/>
        </w:rPr>
        <w:t>（八）</w:t>
      </w:r>
      <w:r>
        <w:rPr>
          <w:rFonts w:hint="eastAsia" w:ascii="楷体_GB2312" w:hAnsi="楷体_GB2312" w:eastAsia="楷体_GB2312" w:cs="楷体_GB2312"/>
          <w:snapToGrid w:val="0"/>
          <w:kern w:val="0"/>
          <w:sz w:val="32"/>
          <w:szCs w:val="32"/>
          <w:lang w:val="en-US" w:eastAsia="zh-CN" w:bidi="ar-SA"/>
        </w:rPr>
        <w:t>健全行政权利制约和监督体系，全面推进政务公开</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完善权力制约机制，实行分事行权、分岗设权，强化内部流程控制，严格税收执法，防止权力滥用。利用内部控制监督平台，建立各业务股室紧密联系，使内控工作上下联动，全面覆盖，保证有错必纠，无错陈述，构建风险识别、排序、应对、核查、整改和追究的完整闭环，实现风险源头防控、纠错提前介入、操作全程留痕和过错实时追究。正蓝旗税务局严格按照政府信息公开工作的要求，依法依规做好公开工作，逐项梳理公开事项的内容、时限、方式、责任主体、监督渠道等，通过正蓝旗政府信息公开平台、信用中国、税务行政执法公示平台等公开平台公开各项必须公示的内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kern w:val="0"/>
          <w:sz w:val="32"/>
          <w:szCs w:val="32"/>
          <w:highlight w:val="none"/>
          <w:lang w:val="en-US" w:eastAsia="zh-CN" w:bidi="ar-SA"/>
        </w:rPr>
      </w:pPr>
      <w:r>
        <w:rPr>
          <w:rFonts w:hint="eastAsia" w:ascii="楷体" w:hAnsi="楷体" w:eastAsia="楷体" w:cs="楷体"/>
          <w:snapToGrid w:val="0"/>
          <w:kern w:val="0"/>
          <w:sz w:val="32"/>
          <w:szCs w:val="32"/>
          <w:highlight w:val="none"/>
          <w:lang w:val="en-US" w:eastAsia="zh-CN" w:bidi="ar-SA"/>
        </w:rPr>
        <w:t>（九）</w:t>
      </w:r>
      <w:r>
        <w:rPr>
          <w:rFonts w:hint="eastAsia" w:ascii="楷体_GB2312" w:hAnsi="楷体_GB2312" w:eastAsia="楷体_GB2312" w:cs="楷体_GB2312"/>
          <w:snapToGrid w:val="0"/>
          <w:kern w:val="0"/>
          <w:sz w:val="32"/>
          <w:szCs w:val="32"/>
          <w:highlight w:val="none"/>
          <w:lang w:val="en-US" w:eastAsia="zh-CN" w:bidi="ar-SA"/>
        </w:rPr>
        <w:t>健全法治政府建设科技保障体系，推进智慧税务创新落实</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大力推行网上办、掌上办等电子办税方式，及时与纳税人缴费人沟通使用感受，不断完善和改进系统功能</w:t>
      </w:r>
      <w:r>
        <w:rPr>
          <w:rFonts w:hint="eastAsia" w:ascii="仿宋_GB2312" w:hAnsi="仿宋_GB2312" w:eastAsia="仿宋_GB2312" w:cs="仿宋_GB2312"/>
          <w:sz w:val="32"/>
          <w:szCs w:val="32"/>
          <w:lang w:val="en-US" w:eastAsia="zh-CN"/>
        </w:rPr>
        <w:t>。2024年度分别召开党委会2次、专题会议4次、局务会议2次，研究部署《关于进一步深化税收征管改革意见》任务分解落实，不断向着智慧税务建设迈进。</w:t>
      </w:r>
      <w:r>
        <w:rPr>
          <w:rFonts w:hint="eastAsia" w:ascii="仿宋_GB2312" w:hAnsi="仿宋_GB2312" w:eastAsia="仿宋_GB2312" w:cs="仿宋_GB2312"/>
          <w:sz w:val="32"/>
          <w:szCs w:val="32"/>
          <w:lang w:eastAsia="zh-CN"/>
        </w:rPr>
        <w:t>依托公众平台，针对于纳税人、缴费人办税过程中较为常见的申报税费、增加办税人等事项进行线上直播教学，引导其自主在电子税务局中完成事项。以线上“零距离”的方式解决纳税人缴费人涉税涉费问题，</w:t>
      </w:r>
      <w:r>
        <w:rPr>
          <w:rFonts w:hint="eastAsia" w:ascii="仿宋_GB2312" w:hAnsi="仿宋_GB2312" w:eastAsia="仿宋_GB2312" w:cs="仿宋_GB2312"/>
          <w:color w:val="auto"/>
          <w:sz w:val="32"/>
          <w:szCs w:val="32"/>
          <w:lang w:eastAsia="zh-CN"/>
        </w:rPr>
        <w:t>同纳税人缴费人搭建</w:t>
      </w:r>
      <w:r>
        <w:rPr>
          <w:rFonts w:hint="eastAsia" w:ascii="仿宋_GB2312" w:hAnsi="仿宋_GB2312" w:eastAsia="仿宋_GB2312" w:cs="仿宋_GB2312"/>
          <w:sz w:val="32"/>
          <w:szCs w:val="32"/>
          <w:lang w:eastAsia="zh-CN"/>
        </w:rPr>
        <w:t>起沟通的“连心桥”。</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kern w:val="0"/>
          <w:sz w:val="32"/>
          <w:szCs w:val="32"/>
          <w:lang w:val="en-US" w:eastAsia="zh-CN" w:bidi="ar-SA"/>
        </w:rPr>
      </w:pPr>
      <w:r>
        <w:rPr>
          <w:rFonts w:hint="eastAsia" w:ascii="楷体" w:hAnsi="楷体" w:eastAsia="楷体" w:cs="楷体"/>
          <w:snapToGrid w:val="0"/>
          <w:kern w:val="0"/>
          <w:sz w:val="32"/>
          <w:szCs w:val="32"/>
          <w:lang w:val="en-US" w:eastAsia="zh-CN" w:bidi="ar-SA"/>
        </w:rPr>
        <w:t>（十）</w:t>
      </w:r>
      <w:r>
        <w:rPr>
          <w:rFonts w:hint="eastAsia" w:ascii="楷体_GB2312" w:hAnsi="楷体_GB2312" w:eastAsia="楷体_GB2312" w:cs="楷体_GB2312"/>
          <w:snapToGrid w:val="0"/>
          <w:kern w:val="0"/>
          <w:sz w:val="32"/>
          <w:szCs w:val="32"/>
          <w:lang w:val="en-US" w:eastAsia="zh-CN" w:bidi="ar-SA"/>
        </w:rPr>
        <w:t>加强党的领导，健全依法行政领导体制机制</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坚持党委总揽全局、协调各方的领导核心地位，成立行政执法责任制领导小组和</w:t>
      </w:r>
      <w:r>
        <w:rPr>
          <w:rFonts w:hint="eastAsia" w:ascii="仿宋_GB2312" w:hAnsi="宋体" w:eastAsia="仿宋_GB2312" w:cs="宋体"/>
          <w:color w:val="auto"/>
          <w:sz w:val="32"/>
          <w:szCs w:val="32"/>
        </w:rPr>
        <w:t>税收执法考评与过错责任追究领导小组，</w:t>
      </w:r>
      <w:r>
        <w:rPr>
          <w:rFonts w:hint="eastAsia" w:ascii="仿宋_GB2312" w:hAnsi="仿宋_GB2312" w:eastAsia="仿宋_GB2312" w:cs="仿宋_GB2312"/>
          <w:b w:val="0"/>
          <w:bCs w:val="0"/>
          <w:color w:val="auto"/>
          <w:sz w:val="32"/>
          <w:szCs w:val="32"/>
          <w:lang w:val="en-US" w:eastAsia="zh-CN"/>
        </w:rPr>
        <w:t>加强对推进依法行政的组织领导，建立健全推进依法行政工作的领导体制和工作机制，建立“一把手”负责制，分管领导落实“一岗双责”，实现税务行政执法工作有领导、有分工、有考核。成立</w:t>
      </w:r>
      <w:r>
        <w:rPr>
          <w:rFonts w:hint="eastAsia" w:ascii="仿宋_GB2312" w:hAnsi="仿宋_GB2312" w:eastAsia="仿宋_GB2312" w:cs="仿宋_GB2312"/>
          <w:color w:val="auto"/>
          <w:sz w:val="32"/>
          <w:szCs w:val="32"/>
          <w:lang w:val="en-US" w:eastAsia="zh-CN"/>
        </w:rPr>
        <w:t>重大税务案件审理委员会</w:t>
      </w:r>
      <w:r>
        <w:rPr>
          <w:rFonts w:hint="eastAsia" w:ascii="仿宋_GB2312" w:hAnsi="仿宋_GB2312" w:eastAsia="仿宋_GB2312" w:cs="仿宋_GB2312"/>
          <w:b w:val="0"/>
          <w:bCs w:val="0"/>
          <w:color w:val="auto"/>
          <w:sz w:val="32"/>
          <w:szCs w:val="32"/>
          <w:lang w:val="en-US" w:eastAsia="zh-CN"/>
        </w:rPr>
        <w:t>，充分发挥法制工作职能，确保税收执法行为的正确、规范、到位。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二、2025年工作思路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napToGrid w:val="0"/>
          <w:kern w:val="0"/>
          <w:sz w:val="32"/>
          <w:szCs w:val="32"/>
          <w:u w:val="none"/>
          <w:lang w:val="en-US" w:eastAsia="zh-CN" w:bidi="ar-SA"/>
        </w:rPr>
      </w:pPr>
      <w:r>
        <w:rPr>
          <w:rFonts w:hint="eastAsia" w:ascii="仿宋_GB2312" w:hAnsi="仿宋_GB2312" w:eastAsia="仿宋_GB2312" w:cs="仿宋_GB2312"/>
          <w:snapToGrid w:val="0"/>
          <w:kern w:val="0"/>
          <w:sz w:val="32"/>
          <w:szCs w:val="32"/>
          <w:lang w:val="en-US" w:eastAsia="zh-CN" w:bidi="ar-SA"/>
        </w:rPr>
        <w:t>正蓝旗税务局将坚持以习近平新时代中国特色社会主</w:t>
      </w:r>
      <w:r>
        <w:rPr>
          <w:rFonts w:hint="eastAsia" w:ascii="仿宋_GB2312" w:hAnsi="仿宋_GB2312" w:eastAsia="仿宋_GB2312" w:cs="仿宋_GB2312"/>
          <w:snapToGrid w:val="0"/>
          <w:kern w:val="0"/>
          <w:sz w:val="32"/>
          <w:szCs w:val="32"/>
          <w:u w:val="none"/>
          <w:lang w:val="en-US" w:eastAsia="zh-CN" w:bidi="ar-SA"/>
        </w:rPr>
        <w:t>义思想为指导，把习近平总书记全面依法治国新理念新思想新战略作为推进税收法治建设的根本遵循，</w:t>
      </w:r>
      <w:r>
        <w:rPr>
          <w:rFonts w:hint="eastAsia" w:ascii="仿宋_GB2312" w:hAnsi="仿宋_GB2312" w:eastAsia="仿宋_GB2312" w:cs="仿宋_GB2312"/>
          <w:sz w:val="32"/>
          <w:szCs w:val="32"/>
          <w:u w:val="none"/>
        </w:rPr>
        <w:t>加强党对税收法治工作的全面领导，</w:t>
      </w:r>
      <w:r>
        <w:rPr>
          <w:rFonts w:hint="eastAsia" w:ascii="仿宋_GB2312" w:hAnsi="仿宋_GB2312" w:eastAsia="仿宋_GB2312" w:cs="仿宋_GB2312"/>
          <w:snapToGrid w:val="0"/>
          <w:kern w:val="0"/>
          <w:sz w:val="32"/>
          <w:szCs w:val="32"/>
          <w:u w:val="none"/>
          <w:lang w:val="en-US" w:eastAsia="zh-CN" w:bidi="ar-SA"/>
        </w:rPr>
        <w:t>按照中共中央、国务院印发的《法治政府建设实施纲要（2021-2025年）》及税务部门关于法治政府建设的工作部署，固强补弱，守正创新，更好发挥税收在国家治理中的基础性、支柱性、保障性作用。</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both"/>
        <w:textAlignment w:val="auto"/>
        <w:rPr>
          <w:rFonts w:hint="eastAsia" w:ascii="楷体" w:hAnsi="楷体" w:eastAsia="楷体" w:cs="楷体"/>
          <w:b w:val="0"/>
          <w:bCs w:val="0"/>
          <w:snapToGrid w:val="0"/>
          <w:kern w:val="0"/>
          <w:sz w:val="32"/>
          <w:szCs w:val="32"/>
          <w:lang w:val="en-US" w:eastAsia="zh-CN" w:bidi="ar-SA"/>
        </w:rPr>
      </w:pPr>
      <w:r>
        <w:rPr>
          <w:rFonts w:hint="eastAsia" w:ascii="楷体_GB2312" w:hAnsi="楷体_GB2312" w:eastAsia="楷体_GB2312" w:cs="楷体_GB2312"/>
          <w:b w:val="0"/>
          <w:bCs w:val="0"/>
          <w:snapToGrid w:val="0"/>
          <w:kern w:val="0"/>
          <w:sz w:val="32"/>
          <w:szCs w:val="32"/>
          <w:lang w:val="en-US" w:eastAsia="zh-CN" w:bidi="ar-SA"/>
        </w:rPr>
        <w:t>推进行政执法规范化建设</w:t>
      </w:r>
      <w:bookmarkStart w:id="0" w:name="_GoBack"/>
      <w:bookmarkEnd w:id="0"/>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依托法治政府建设一体化综合服务平台</w:t>
      </w:r>
      <w:r>
        <w:rPr>
          <w:rFonts w:hint="eastAsia" w:ascii="仿宋_GB2312" w:hAnsi="仿宋_GB2312" w:eastAsia="仿宋_GB2312" w:cs="仿宋_GB2312"/>
          <w:snapToGrid w:val="0"/>
          <w:color w:val="auto"/>
          <w:kern w:val="0"/>
          <w:sz w:val="32"/>
          <w:szCs w:val="32"/>
          <w:lang w:val="en-US" w:eastAsia="zh-CN" w:bidi="ar-SA"/>
        </w:rPr>
        <w:t>等</w:t>
      </w:r>
      <w:r>
        <w:rPr>
          <w:rFonts w:hint="eastAsia" w:ascii="仿宋_GB2312" w:hAnsi="仿宋_GB2312" w:eastAsia="仿宋_GB2312" w:cs="仿宋_GB2312"/>
          <w:snapToGrid w:val="0"/>
          <w:kern w:val="0"/>
          <w:sz w:val="32"/>
          <w:szCs w:val="32"/>
          <w:lang w:val="en-US" w:eastAsia="zh-CN" w:bidi="ar-SA"/>
        </w:rPr>
        <w:t>，全面落实行政执法“三项制度”，严格规范行政执法裁量权的应用，加强行政执法监督，不断提升税务执法精确度。树立包容审慎监管理念，在税收执法中积极推行柔性执法方式。加强与其他部门的信息共享和协同合作，推进跨部门业务联办，为纳税人提供更加便捷高效的服务。</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both"/>
        <w:textAlignment w:val="auto"/>
        <w:rPr>
          <w:rFonts w:hint="eastAsia" w:ascii="楷体_GB2312" w:hAnsi="楷体_GB2312" w:eastAsia="楷体_GB2312" w:cs="楷体_GB2312"/>
          <w:b w:val="0"/>
          <w:bCs w:val="0"/>
          <w:snapToGrid w:val="0"/>
          <w:kern w:val="0"/>
          <w:sz w:val="32"/>
          <w:szCs w:val="32"/>
          <w:lang w:val="en-US" w:eastAsia="zh-CN" w:bidi="ar-SA"/>
        </w:rPr>
      </w:pPr>
      <w:r>
        <w:rPr>
          <w:rFonts w:hint="eastAsia" w:ascii="楷体_GB2312" w:hAnsi="楷体_GB2312" w:eastAsia="楷体_GB2312" w:cs="楷体_GB2312"/>
          <w:b w:val="0"/>
          <w:bCs w:val="0"/>
          <w:snapToGrid w:val="0"/>
          <w:kern w:val="0"/>
          <w:sz w:val="32"/>
          <w:szCs w:val="32"/>
          <w:lang w:val="en-US" w:eastAsia="zh-CN" w:bidi="ar-SA"/>
        </w:rPr>
        <w:t>完善税务执法制度和机制</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lang w:val="en-US" w:eastAsia="zh-CN" w:bidi="ar-SA"/>
        </w:rPr>
      </w:pPr>
      <w:r>
        <w:rPr>
          <w:rFonts w:hint="eastAsia" w:ascii="仿宋_GB2312" w:hAnsi="仿宋_GB2312" w:eastAsia="仿宋_GB2312" w:cs="仿宋_GB2312"/>
          <w:b w:val="0"/>
          <w:bCs w:val="0"/>
          <w:snapToGrid w:val="0"/>
          <w:kern w:val="0"/>
          <w:sz w:val="32"/>
          <w:szCs w:val="32"/>
          <w:lang w:val="en-US" w:eastAsia="zh-CN" w:bidi="ar-SA"/>
        </w:rPr>
        <w:t>全面落实税收法定原则，完善现代税收制度；坚持税费兼重理念，加强非税收入管理法制化建设。强化税务执法内部控制和监督。不断构建起全面覆盖、全程防控、全员有责的税务执法风险信息化内控监督体系。</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snapToGrid w:val="0"/>
          <w:kern w:val="0"/>
          <w:sz w:val="32"/>
          <w:szCs w:val="32"/>
          <w:lang w:val="en-US" w:eastAsia="zh-CN" w:bidi="ar-SA"/>
        </w:rPr>
      </w:pPr>
      <w:r>
        <w:rPr>
          <w:rFonts w:hint="eastAsia" w:ascii="楷体" w:hAnsi="楷体" w:eastAsia="楷体" w:cs="楷体"/>
          <w:b w:val="0"/>
          <w:bCs w:val="0"/>
          <w:snapToGrid w:val="0"/>
          <w:kern w:val="0"/>
          <w:sz w:val="32"/>
          <w:szCs w:val="32"/>
          <w:lang w:val="en-US" w:eastAsia="zh-CN" w:bidi="ar-SA"/>
        </w:rPr>
        <w:t>（三）</w:t>
      </w:r>
      <w:r>
        <w:rPr>
          <w:rFonts w:hint="eastAsia" w:ascii="楷体_GB2312" w:hAnsi="楷体_GB2312" w:eastAsia="楷体_GB2312" w:cs="楷体_GB2312"/>
          <w:b w:val="0"/>
          <w:bCs w:val="0"/>
          <w:snapToGrid w:val="0"/>
          <w:kern w:val="0"/>
          <w:sz w:val="32"/>
          <w:szCs w:val="32"/>
          <w:lang w:val="en-US" w:eastAsia="zh-CN" w:bidi="ar-SA"/>
        </w:rPr>
        <w:t>提升执法人员执法水平</w:t>
      </w:r>
    </w:p>
    <w:p>
      <w:pPr>
        <w:pStyle w:val="5"/>
        <w:widowControl w:val="0"/>
        <w:spacing w:line="560" w:lineRule="exact"/>
        <w:ind w:firstLine="640" w:firstLineChars="200"/>
        <w:jc w:val="both"/>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强化法治思想的确立，分析执法人员在税收政策解读、征管流程执行等方面的薄弱环节，分税种、分业务板块开发深度培训课程。针对工作实际开展法律知识的培训和学习，提高基层行政执法人员法律素养，进一步提高广大税务干部依法行政能力和依法治税水平，规范税收执法行为，努力营造法治、公平、公正、公开的税收营商环境，积极推进税收法治建设。</w:t>
      </w:r>
      <w:r>
        <w:rPr>
          <w:rFonts w:hint="eastAsia" w:ascii="仿宋_GB2312" w:hAnsi="仿宋_GB2312" w:eastAsia="仿宋_GB2312" w:cs="仿宋_GB2312"/>
          <w:snapToGrid w:val="0"/>
          <w:kern w:val="0"/>
          <w:sz w:val="32"/>
          <w:szCs w:val="32"/>
          <w:lang w:val="en-US" w:eastAsia="zh-CN" w:bidi="ar-SA"/>
        </w:rPr>
        <w:tab/>
      </w:r>
    </w:p>
    <w:p>
      <w:r>
        <w:rPr>
          <w:rFonts w:hint="eastAsia" w:ascii="仿宋_GB2312" w:hAnsi="仿宋_GB2312" w:eastAsia="仿宋_GB2312" w:cs="仿宋_GB2312"/>
          <w:sz w:val="32"/>
          <w:szCs w:val="32"/>
          <w:lang w:val="en-US" w:eastAsia="zh-CN"/>
        </w:rPr>
        <w:t xml:space="preserve">        </w:t>
      </w:r>
    </w:p>
    <w:sectPr>
      <w:footerReference r:id="rId3" w:type="default"/>
      <w:pgSz w:w="11906" w:h="16838"/>
      <w:pgMar w:top="1701" w:right="1474" w:bottom="1587" w:left="1587" w:header="851" w:footer="992" w:gutter="0"/>
      <w:pgNumType w:fmt="numberInDash"/>
      <w:cols w:space="72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8C96F"/>
    <w:multiLevelType w:val="singleLevel"/>
    <w:tmpl w:val="BFD8C96F"/>
    <w:lvl w:ilvl="0" w:tentative="0">
      <w:start w:val="1"/>
      <w:numFmt w:val="chineseCounting"/>
      <w:suff w:val="nothing"/>
      <w:lvlText w:val="（%1）"/>
      <w:lvlJc w:val="left"/>
      <w:rPr>
        <w:rFonts w:hint="eastAsia"/>
      </w:rPr>
    </w:lvl>
  </w:abstractNum>
  <w:abstractNum w:abstractNumId="1">
    <w:nsid w:val="788A84E0"/>
    <w:multiLevelType w:val="singleLevel"/>
    <w:tmpl w:val="788A84E0"/>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932E0"/>
    <w:rsid w:val="6EE9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Normal Indent1"/>
    <w:basedOn w:val="1"/>
    <w:next w:val="1"/>
    <w:qFormat/>
    <w:uiPriority w:val="0"/>
    <w:pPr>
      <w:spacing w:line="660" w:lineRule="exact"/>
      <w:ind w:firstLine="720" w:firstLineChars="200"/>
    </w:pPr>
    <w:rPr>
      <w:rFonts w:eastAsia="楷体_GB2312"/>
      <w:sz w:val="36"/>
      <w:szCs w:val="36"/>
    </w:rPr>
  </w:style>
  <w:style w:type="paragraph" w:styleId="3">
    <w:name w:val="Body Text Indent"/>
    <w:basedOn w:val="1"/>
    <w:next w:val="4"/>
    <w:qFormat/>
    <w:uiPriority w:val="0"/>
    <w:pPr>
      <w:tabs>
        <w:tab w:val="left" w:pos="360"/>
        <w:tab w:val="left" w:pos="540"/>
        <w:tab w:val="left" w:pos="720"/>
        <w:tab w:val="left" w:pos="1800"/>
      </w:tabs>
      <w:spacing w:line="360" w:lineRule="auto"/>
      <w:ind w:firstLine="573"/>
    </w:pPr>
    <w:rPr>
      <w:rFonts w:ascii="Times New Roman" w:hAnsi="Times New Roman" w:eastAsia="宋体" w:cs="Times New Roman"/>
      <w:sz w:val="28"/>
    </w:rPr>
  </w:style>
  <w:style w:type="paragraph" w:styleId="4">
    <w:name w:val="Body Text First Indent 2"/>
    <w:basedOn w:val="3"/>
    <w:next w:val="1"/>
    <w:qFormat/>
    <w:uiPriority w:val="0"/>
    <w:pPr>
      <w:ind w:left="420" w:leftChars="200" w:firstLine="420"/>
    </w:pPr>
    <w:rPr>
      <w:rFonts w:ascii="Times New Roman" w:hAnsi="Times New Roman" w:eastAsia="宋体" w:cs="Times New Roman"/>
      <w:sz w:val="21"/>
    </w:rPr>
  </w:style>
  <w:style w:type="paragraph" w:styleId="5">
    <w:name w:val="Plain Text"/>
    <w:basedOn w:val="1"/>
    <w:unhideWhenUsed/>
    <w:qFormat/>
    <w:uiPriority w:val="99"/>
    <w:pPr>
      <w:widowControl w:val="0"/>
      <w:overflowPunct/>
      <w:autoSpaceDE/>
      <w:autoSpaceDN/>
      <w:adjustRightInd/>
      <w:textAlignment w:val="auto"/>
    </w:pPr>
    <w:rPr>
      <w:rFonts w:ascii="宋体" w:hAnsi="Courier New" w:cs="Courier New"/>
      <w:kern w:val="2"/>
      <w:szCs w:val="21"/>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2025-03-26T02:48:00Z</dcterms:created>
  <dc:creator>李捷</dc:creator>
  <cp:lastModifiedBy>李捷</cp:lastModifiedBy>
  <dcterms:modified xsi:type="dcterms:W3CDTF">2025-03-26T02:49:13Z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