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  <w:t>检查事项和依据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tbl>
      <w:tblPr>
        <w:tblStyle w:val="2"/>
        <w:tblW w:w="137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5234"/>
        <w:gridCol w:w="7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3.《中华人民共和国发票管理办法》第二十九条第一、二、三项。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《中华人民共和国税收征收管理法》第五十四条第二项。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《中华人民共和国税收征收管理法》第五十四条第三项。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2.《中华人民共和国发票管理办法》第二十九条第四项。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《中华人民共和国税收征收管理法》第五十四条第五项。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《中华人民共和国税收征收管理法》第五十四条第六项。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《中华人民共和国税收征收管理法》第五十七条。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记录、录音、录像、照相和复制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2.《中华人民共和国发票管理办法》第二十九条第五项。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9138A"/>
    <w:rsid w:val="15A74402"/>
    <w:rsid w:val="15DB43B3"/>
    <w:rsid w:val="21652072"/>
    <w:rsid w:val="2F3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2025-03-25T08:50:00Z</dcterms:created>
  <dc:creator>tianying</dc:creator>
  <cp:lastModifiedBy>张慧敏</cp:lastModifiedBy>
  <dcterms:modified xsi:type="dcterms:W3CDTF">2025-03-26T09:22:39Z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