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640" w:lineRule="exact"/>
        <w:jc w:val="center"/>
        <w:rPr>
          <w:rFonts w:hint="default" w:ascii="方正小标宋简体" w:hAnsi="方正小标宋简体" w:eastAsia="方正小标宋简体" w:cs="方正小标宋简体"/>
          <w:bCs/>
          <w:color w:val="000000"/>
          <w:sz w:val="44"/>
          <w:szCs w:val="44"/>
          <w:lang w:val="en-US"/>
        </w:rPr>
      </w:pPr>
      <w:r>
        <w:rPr>
          <w:rFonts w:hint="default" w:ascii="方正小标宋简体" w:hAnsi="方正小标宋简体" w:eastAsia="方正小标宋简体" w:cs="方正小标宋简体"/>
          <w:bCs/>
          <w:color w:val="000000"/>
          <w:sz w:val="44"/>
          <w:szCs w:val="44"/>
          <w:lang w:val="en-US"/>
        </w:rPr>
        <w:t>国家税务总局锡林浩特市税务局</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640" w:lineRule="exact"/>
        <w:jc w:val="center"/>
        <w:rPr>
          <w:rFonts w:hint="eastAsia" w:ascii="方正小标宋简体" w:hAnsi="方正小标宋简体" w:eastAsia="方正小标宋简体" w:cs="方正小标宋简体"/>
          <w:bCs/>
          <w:color w:val="000000"/>
          <w:sz w:val="44"/>
          <w:szCs w:val="44"/>
          <w:lang w:val="en-US" w:eastAsia="zh-CN"/>
        </w:rPr>
      </w:pPr>
      <w:r>
        <w:rPr>
          <w:rFonts w:hint="default" w:ascii="方正小标宋简体" w:hAnsi="方正小标宋简体" w:eastAsia="方正小标宋简体" w:cs="方正小标宋简体"/>
          <w:bCs/>
          <w:color w:val="000000"/>
          <w:sz w:val="44"/>
          <w:szCs w:val="44"/>
          <w:lang w:val="en-US"/>
        </w:rPr>
        <w:t>202</w:t>
      </w:r>
      <w:r>
        <w:rPr>
          <w:rFonts w:hint="eastAsia" w:ascii="方正小标宋简体" w:hAnsi="方正小标宋简体" w:eastAsia="方正小标宋简体" w:cs="方正小标宋简体"/>
          <w:bCs/>
          <w:color w:val="000000"/>
          <w:sz w:val="44"/>
          <w:szCs w:val="44"/>
          <w:lang w:val="en-US" w:eastAsia="zh-CN"/>
        </w:rPr>
        <w:t>5</w:t>
      </w:r>
      <w:r>
        <w:rPr>
          <w:rFonts w:hint="default" w:ascii="方正小标宋简体" w:hAnsi="方正小标宋简体" w:eastAsia="方正小标宋简体" w:cs="方正小标宋简体"/>
          <w:bCs/>
          <w:color w:val="000000"/>
          <w:sz w:val="44"/>
          <w:szCs w:val="44"/>
          <w:lang w:val="en-US"/>
        </w:rPr>
        <w:t>年度法治政府建设工作情况的</w:t>
      </w:r>
      <w:r>
        <w:rPr>
          <w:rFonts w:hint="eastAsia" w:ascii="方正小标宋简体" w:hAnsi="方正小标宋简体" w:eastAsia="方正小标宋简体" w:cs="方正小标宋简体"/>
          <w:bCs/>
          <w:color w:val="000000"/>
          <w:sz w:val="44"/>
          <w:szCs w:val="44"/>
          <w:lang w:val="en-US" w:eastAsia="zh-CN"/>
        </w:rPr>
        <w:t>报告</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560" w:lineRule="exact"/>
        <w:jc w:val="center"/>
        <w:rPr>
          <w:b/>
          <w:color w:val="00000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锡林浩特市</w:t>
      </w:r>
      <w:r>
        <w:rPr>
          <w:rFonts w:hint="eastAsia" w:ascii="仿宋_GB2312" w:hAnsi="仿宋_GB2312" w:eastAsia="仿宋_GB2312" w:cs="仿宋_GB2312"/>
          <w:color w:val="auto"/>
          <w:sz w:val="32"/>
          <w:szCs w:val="32"/>
        </w:rPr>
        <w:t>税务局</w:t>
      </w:r>
      <w:r>
        <w:rPr>
          <w:rFonts w:hint="eastAsia" w:ascii="仿宋_GB2312" w:hAnsi="仿宋_GB2312" w:eastAsia="仿宋_GB2312" w:cs="仿宋_GB2312"/>
          <w:color w:val="auto"/>
          <w:sz w:val="32"/>
          <w:szCs w:val="32"/>
          <w:lang w:eastAsia="zh-CN"/>
        </w:rPr>
        <w:t>坚持以习近平新时代中国特色社会主义思想为指导，深入学习党的二十大、二十届四中全会精神和党中央、国务院关于全面依法治国的决策部署，全面贯彻落实中共中央、国务院印发的《法治政府建设实施纲要（</w:t>
      </w:r>
      <w:r>
        <w:rPr>
          <w:rFonts w:hint="eastAsia" w:ascii="仿宋_GB2312" w:hAnsi="仿宋_GB2312" w:eastAsia="仿宋_GB2312" w:cs="仿宋_GB2312"/>
          <w:color w:val="auto"/>
          <w:sz w:val="32"/>
          <w:szCs w:val="32"/>
          <w:lang w:val="en-US" w:eastAsia="zh-CN"/>
        </w:rPr>
        <w:t>2021—2025）》，坚持推进依法行政，切实加强税收法治建设。</w:t>
      </w:r>
      <w:r>
        <w:rPr>
          <w:rFonts w:hint="eastAsia" w:ascii="仿宋_GB2312" w:hAnsi="仿宋_GB2312" w:eastAsia="仿宋_GB2312" w:cs="仿宋_GB2312"/>
          <w:color w:val="auto"/>
          <w:sz w:val="32"/>
          <w:szCs w:val="32"/>
          <w:lang w:eastAsia="zh-CN"/>
        </w:rPr>
        <w:t>现将锡林浩特市税务局</w:t>
      </w:r>
      <w:r>
        <w:rPr>
          <w:rFonts w:hint="eastAsia" w:ascii="仿宋_GB2312" w:hAnsi="仿宋_GB2312" w:eastAsia="仿宋_GB2312" w:cs="仿宋_GB2312"/>
          <w:color w:val="auto"/>
          <w:sz w:val="32"/>
          <w:szCs w:val="32"/>
          <w:lang w:val="en-US" w:eastAsia="zh-CN"/>
        </w:rPr>
        <w:t>2025年法治政府建设工作情况汇报如下。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推进</w:t>
      </w:r>
      <w:r>
        <w:rPr>
          <w:rFonts w:hint="eastAsia" w:ascii="黑体" w:hAnsi="黑体" w:eastAsia="黑体" w:cs="黑体"/>
          <w:color w:val="auto"/>
          <w:sz w:val="32"/>
          <w:szCs w:val="32"/>
        </w:rPr>
        <w:t>法治政府建设</w:t>
      </w:r>
      <w:r>
        <w:rPr>
          <w:rFonts w:hint="eastAsia" w:ascii="黑体" w:hAnsi="黑体" w:eastAsia="黑体" w:cs="黑体"/>
          <w:color w:val="auto"/>
          <w:sz w:val="32"/>
          <w:szCs w:val="32"/>
          <w:lang w:eastAsia="zh-CN"/>
        </w:rPr>
        <w:t>主要举措和成效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楷体_GB2312" w:hAnsi="楷体_GB2312" w:eastAsia="楷体_GB2312" w:cs="楷体_GB2312"/>
          <w:bCs/>
          <w:color w:val="auto"/>
          <w:sz w:val="32"/>
          <w:szCs w:val="32"/>
        </w:rPr>
      </w:pPr>
      <w:r>
        <w:rPr>
          <w:rStyle w:val="9"/>
          <w:rFonts w:hint="eastAsia" w:ascii="楷体_GB2312" w:hAnsi="楷体_GB2312" w:eastAsia="楷体_GB2312" w:cs="楷体_GB2312"/>
          <w:b w:val="0"/>
          <w:bCs/>
          <w:color w:val="auto"/>
          <w:sz w:val="32"/>
          <w:szCs w:val="32"/>
          <w:lang w:eastAsia="zh-CN"/>
        </w:rPr>
        <w:t>（一）</w:t>
      </w:r>
      <w:r>
        <w:rPr>
          <w:rFonts w:hint="eastAsia" w:ascii="楷体_GB2312" w:hAnsi="楷体_GB2312" w:eastAsia="楷体_GB2312" w:cs="楷体_GB2312"/>
          <w:bCs/>
          <w:color w:val="auto"/>
          <w:sz w:val="32"/>
          <w:szCs w:val="32"/>
        </w:rPr>
        <w:t>深入学习贯彻习近平法治思想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Style w:val="9"/>
          <w:rFonts w:hint="eastAsia" w:ascii="仿宋_GB2312" w:hAnsi="仿宋_GB2312" w:eastAsia="仿宋_GB2312" w:cs="仿宋_GB2312"/>
          <w:b w:val="0"/>
          <w:bCs/>
          <w:color w:val="auto"/>
          <w:sz w:val="32"/>
          <w:szCs w:val="32"/>
          <w:lang w:val="en-US" w:eastAsia="zh-CN"/>
        </w:rPr>
      </w:pPr>
      <w:r>
        <w:rPr>
          <w:rStyle w:val="9"/>
          <w:rFonts w:hint="eastAsia" w:ascii="仿宋_GB2312" w:hAnsi="仿宋_GB2312" w:eastAsia="仿宋_GB2312" w:cs="仿宋_GB2312"/>
          <w:b w:val="0"/>
          <w:bCs/>
          <w:color w:val="auto"/>
          <w:sz w:val="32"/>
          <w:szCs w:val="32"/>
          <w:lang w:val="en-US" w:eastAsia="zh-CN"/>
        </w:rPr>
        <w:t>1.深入学习贯彻习近平法治思想，通过</w:t>
      </w:r>
      <w:r>
        <w:rPr>
          <w:rFonts w:hint="eastAsia" w:ascii="仿宋_GB2312" w:hAnsi="仿宋_GB2312" w:eastAsia="仿宋_GB2312" w:cs="仿宋_GB2312"/>
          <w:color w:val="auto"/>
          <w:sz w:val="32"/>
          <w:szCs w:val="32"/>
          <w:lang w:eastAsia="zh-CN"/>
        </w:rPr>
        <w:t>党</w:t>
      </w:r>
      <w:r>
        <w:rPr>
          <w:rFonts w:hint="eastAsia" w:ascii="仿宋_GB2312" w:hAnsi="仿宋_GB2312" w:eastAsia="仿宋_GB2312" w:cs="仿宋_GB2312"/>
          <w:color w:val="auto"/>
          <w:sz w:val="32"/>
          <w:szCs w:val="32"/>
        </w:rPr>
        <w:t>委会议</w:t>
      </w:r>
      <w:r>
        <w:rPr>
          <w:rFonts w:hint="eastAsia" w:ascii="仿宋_GB2312" w:hAnsi="仿宋_GB2312" w:eastAsia="仿宋_GB2312" w:cs="仿宋_GB2312"/>
          <w:color w:val="auto"/>
          <w:sz w:val="32"/>
          <w:szCs w:val="32"/>
          <w:lang w:eastAsia="zh-CN"/>
        </w:rPr>
        <w:t>、</w:t>
      </w:r>
      <w:r>
        <w:rPr>
          <w:rStyle w:val="9"/>
          <w:rFonts w:hint="eastAsia" w:ascii="仿宋_GB2312" w:hAnsi="仿宋_GB2312" w:eastAsia="仿宋_GB2312" w:cs="仿宋_GB2312"/>
          <w:b w:val="0"/>
          <w:bCs/>
          <w:color w:val="auto"/>
          <w:sz w:val="32"/>
          <w:szCs w:val="32"/>
          <w:lang w:val="en-US" w:eastAsia="zh-CN"/>
        </w:rPr>
        <w:t>理论学习中心组学法、业务专题培训、集中考试等多种形式，结合税务工作实际开展交流研讨，切实以习近平法治思想武装头脑、指导实践，确保税收发展始终在法治轨道上运行。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lang w:eastAsia="zh-CN"/>
        </w:rPr>
        <w:t>贯彻</w:t>
      </w:r>
      <w:r>
        <w:rPr>
          <w:rFonts w:hint="eastAsia" w:ascii="仿宋_GB2312" w:eastAsia="仿宋_GB2312" w:cs="仿宋_GB2312"/>
          <w:color w:val="auto"/>
          <w:sz w:val="32"/>
          <w:szCs w:val="32"/>
        </w:rPr>
        <w:t>落实好税务系统领导干部应知应</w:t>
      </w:r>
      <w:bookmarkStart w:id="0" w:name="_GoBack"/>
      <w:bookmarkEnd w:id="0"/>
      <w:r>
        <w:rPr>
          <w:rFonts w:hint="eastAsia" w:ascii="仿宋_GB2312" w:eastAsia="仿宋_GB2312" w:cs="仿宋_GB2312"/>
          <w:color w:val="auto"/>
          <w:sz w:val="32"/>
          <w:szCs w:val="32"/>
        </w:rPr>
        <w:t>会党内法规和国家法律清单制度，</w:t>
      </w:r>
      <w:r>
        <w:rPr>
          <w:rFonts w:hint="eastAsia" w:ascii="仿宋_GB2312" w:hAnsi="黑体" w:eastAsia="仿宋_GB2312"/>
          <w:color w:val="auto"/>
          <w:kern w:val="2"/>
          <w:sz w:val="32"/>
          <w:szCs w:val="32"/>
        </w:rPr>
        <w:t>推动领导干部带头尊规学规守规用规，带头尊法学法守法用法，</w:t>
      </w:r>
      <w:r>
        <w:rPr>
          <w:rFonts w:hint="eastAsia" w:ascii="仿宋_GB2312" w:hAnsi="黑体" w:eastAsia="仿宋_GB2312"/>
          <w:color w:val="auto"/>
          <w:kern w:val="2"/>
          <w:sz w:val="32"/>
          <w:szCs w:val="32"/>
          <w:lang w:eastAsia="zh-CN"/>
        </w:rPr>
        <w:t>并</w:t>
      </w:r>
      <w:r>
        <w:rPr>
          <w:rFonts w:hint="eastAsia" w:ascii="仿宋_GB2312" w:hAnsi="仿宋_GB2312" w:eastAsia="仿宋_GB2312" w:cs="仿宋_GB2312"/>
          <w:color w:val="auto"/>
          <w:sz w:val="32"/>
          <w:szCs w:val="32"/>
        </w:rPr>
        <w:t>作</w:t>
      </w:r>
      <w:r>
        <w:rPr>
          <w:rFonts w:hint="eastAsia" w:ascii="仿宋_GB2312" w:hAnsi="仿宋_GB2312" w:eastAsia="仿宋_GB2312" w:cs="仿宋_GB2312"/>
          <w:color w:val="auto"/>
          <w:sz w:val="32"/>
          <w:szCs w:val="32"/>
          <w:lang w:eastAsia="zh-CN"/>
        </w:rPr>
        <w:t>为党</w:t>
      </w:r>
      <w:r>
        <w:rPr>
          <w:rFonts w:hint="eastAsia" w:ascii="仿宋_GB2312" w:hAnsi="仿宋_GB2312" w:eastAsia="仿宋_GB2312" w:cs="仿宋_GB2312"/>
          <w:color w:val="auto"/>
          <w:sz w:val="32"/>
          <w:szCs w:val="32"/>
        </w:rPr>
        <w:t>委会议、党委理论学习中心组学习内容</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研讨学习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2025年度</w:t>
      </w:r>
      <w:r>
        <w:rPr>
          <w:rFonts w:hint="eastAsia" w:ascii="仿宋_GB2312" w:hAnsi="仿宋_GB2312" w:eastAsia="仿宋_GB2312" w:cs="仿宋_GB2312"/>
          <w:color w:val="auto"/>
          <w:sz w:val="32"/>
          <w:szCs w:val="32"/>
          <w:lang w:eastAsia="zh-CN"/>
        </w:rPr>
        <w:t>共计开展相关学习</w:t>
      </w:r>
      <w:r>
        <w:rPr>
          <w:rFonts w:hint="eastAsia" w:ascii="仿宋_GB2312" w:hAnsi="仿宋_GB2312" w:eastAsia="仿宋_GB2312" w:cs="仿宋_GB2312"/>
          <w:color w:val="auto"/>
          <w:sz w:val="32"/>
          <w:szCs w:val="32"/>
          <w:lang w:val="en-US" w:eastAsia="zh-CN"/>
        </w:rPr>
        <w:t>28次。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color w:val="auto"/>
          <w:sz w:val="32"/>
          <w:szCs w:val="32"/>
        </w:rPr>
      </w:pPr>
      <w:r>
        <w:rPr>
          <w:rStyle w:val="9"/>
          <w:rFonts w:hint="eastAsia" w:ascii="楷体_GB2312" w:hAnsi="楷体_GB2312" w:eastAsia="楷体_GB2312" w:cs="楷体_GB2312"/>
          <w:b w:val="0"/>
          <w:bCs/>
          <w:color w:val="auto"/>
          <w:sz w:val="32"/>
          <w:szCs w:val="32"/>
        </w:rPr>
        <w:t>（</w:t>
      </w:r>
      <w:r>
        <w:rPr>
          <w:rStyle w:val="9"/>
          <w:rFonts w:hint="eastAsia" w:ascii="楷体_GB2312" w:hAnsi="楷体_GB2312" w:eastAsia="楷体_GB2312" w:cs="楷体_GB2312"/>
          <w:b w:val="0"/>
          <w:bCs/>
          <w:color w:val="auto"/>
          <w:sz w:val="32"/>
          <w:szCs w:val="32"/>
          <w:lang w:eastAsia="zh-CN"/>
        </w:rPr>
        <w:t>二</w:t>
      </w:r>
      <w:r>
        <w:rPr>
          <w:rStyle w:val="9"/>
          <w:rFonts w:hint="eastAsia" w:ascii="楷体_GB2312" w:hAnsi="楷体_GB2312" w:eastAsia="楷体_GB2312" w:cs="楷体_GB2312"/>
          <w:b w:val="0"/>
          <w:bCs/>
          <w:color w:val="auto"/>
          <w:sz w:val="32"/>
          <w:szCs w:val="32"/>
        </w:rPr>
        <w:t>）</w:t>
      </w:r>
      <w:r>
        <w:rPr>
          <w:rStyle w:val="9"/>
          <w:rFonts w:hint="eastAsia" w:ascii="楷体_GB2312" w:hAnsi="楷体_GB2312" w:eastAsia="楷体_GB2312" w:cs="楷体_GB2312"/>
          <w:b w:val="0"/>
          <w:bCs/>
          <w:color w:val="auto"/>
          <w:sz w:val="32"/>
          <w:szCs w:val="32"/>
          <w:lang w:eastAsia="zh-CN"/>
        </w:rPr>
        <w:t>全面履行税收工作职能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Style w:val="9"/>
          <w:rFonts w:hint="eastAsia" w:ascii="仿宋_GB2312" w:hAnsi="仿宋_GB2312" w:eastAsia="仿宋_GB2312" w:cs="仿宋_GB2312"/>
          <w:b w:val="0"/>
          <w:bCs/>
          <w:color w:val="auto"/>
          <w:sz w:val="32"/>
          <w:szCs w:val="32"/>
          <w:lang w:eastAsia="zh-CN"/>
        </w:rPr>
      </w:pPr>
      <w:r>
        <w:rPr>
          <w:rStyle w:val="9"/>
          <w:rFonts w:hint="eastAsia" w:ascii="仿宋_GB2312" w:hAnsi="仿宋_GB2312" w:eastAsia="仿宋_GB2312" w:cs="仿宋_GB2312"/>
          <w:b w:val="0"/>
          <w:bCs/>
          <w:color w:val="auto"/>
          <w:sz w:val="32"/>
          <w:szCs w:val="32"/>
        </w:rPr>
        <w:t>1.</w:t>
      </w:r>
      <w:r>
        <w:rPr>
          <w:rStyle w:val="9"/>
          <w:rFonts w:hint="eastAsia" w:ascii="仿宋_GB2312" w:hAnsi="仿宋_GB2312" w:eastAsia="仿宋_GB2312" w:cs="仿宋_GB2312"/>
          <w:b w:val="0"/>
          <w:bCs/>
          <w:color w:val="auto"/>
          <w:sz w:val="32"/>
          <w:szCs w:val="32"/>
          <w:lang w:eastAsia="zh-CN"/>
        </w:rPr>
        <w:t>依法依规组织收入。</w:t>
      </w:r>
      <w:r>
        <w:rPr>
          <w:rStyle w:val="9"/>
          <w:rFonts w:hint="eastAsia" w:ascii="仿宋_GB2312" w:hAnsi="仿宋_GB2312" w:eastAsia="仿宋_GB2312" w:cs="仿宋_GB2312"/>
          <w:b w:val="0"/>
          <w:bCs/>
          <w:color w:val="auto"/>
          <w:sz w:val="32"/>
          <w:szCs w:val="32"/>
          <w:lang w:val="en-US" w:eastAsia="zh-CN"/>
        </w:rPr>
        <w:t>2025年我局严格依据税收法律法规，加强税收征管、强化税收经济分析，</w:t>
      </w:r>
      <w:r>
        <w:rPr>
          <w:rStyle w:val="9"/>
          <w:rFonts w:hint="eastAsia" w:ascii="仿宋_GB2312" w:hAnsi="仿宋_GB2312" w:eastAsia="仿宋_GB2312" w:cs="仿宋_GB2312"/>
          <w:b w:val="0"/>
          <w:bCs/>
          <w:color w:val="auto"/>
          <w:sz w:val="32"/>
          <w:szCs w:val="32"/>
          <w:lang w:eastAsia="zh-CN"/>
        </w:rPr>
        <w:t>将依法依规贯穿于组织收入工作全过程，严守不收“过头税费”的底线，保持税收收入稳定增长。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Style w:val="9"/>
          <w:rFonts w:hint="eastAsia" w:ascii="仿宋_GB2312" w:hAnsi="仿宋_GB2312" w:eastAsia="仿宋_GB2312" w:cs="仿宋_GB2312"/>
          <w:b/>
          <w:bCs w:val="0"/>
          <w:color w:val="auto"/>
          <w:sz w:val="32"/>
          <w:szCs w:val="32"/>
        </w:rPr>
      </w:pPr>
      <w:r>
        <w:rPr>
          <w:rStyle w:val="9"/>
          <w:rFonts w:hint="eastAsia" w:ascii="仿宋_GB2312" w:hAnsi="仿宋_GB2312" w:eastAsia="仿宋_GB2312" w:cs="仿宋_GB2312"/>
          <w:b w:val="0"/>
          <w:bCs/>
          <w:color w:val="auto"/>
          <w:sz w:val="32"/>
          <w:szCs w:val="32"/>
        </w:rPr>
        <w:t>2.</w:t>
      </w:r>
      <w:r>
        <w:rPr>
          <w:rStyle w:val="9"/>
          <w:rFonts w:hint="eastAsia" w:ascii="仿宋_GB2312" w:hAnsi="仿宋_GB2312" w:eastAsia="仿宋_GB2312" w:cs="仿宋_GB2312"/>
          <w:b w:val="0"/>
          <w:bCs/>
          <w:color w:val="auto"/>
          <w:sz w:val="32"/>
          <w:szCs w:val="32"/>
          <w:lang w:eastAsia="zh-CN"/>
        </w:rPr>
        <w:t>严格落实</w:t>
      </w:r>
      <w:r>
        <w:rPr>
          <w:rStyle w:val="9"/>
          <w:rFonts w:hint="eastAsia" w:ascii="仿宋_GB2312" w:hAnsi="仿宋_GB2312" w:eastAsia="仿宋_GB2312" w:cs="仿宋_GB2312"/>
          <w:b w:val="0"/>
          <w:bCs/>
          <w:color w:val="auto"/>
          <w:sz w:val="32"/>
          <w:szCs w:val="32"/>
        </w:rPr>
        <w:t>税费政策。</w:t>
      </w:r>
      <w:r>
        <w:rPr>
          <w:rStyle w:val="9"/>
          <w:rFonts w:hint="eastAsia" w:ascii="仿宋_GB2312" w:hAnsi="仿宋_GB2312" w:eastAsia="仿宋_GB2312" w:cs="仿宋_GB2312"/>
          <w:b w:val="0"/>
          <w:bCs/>
          <w:color w:val="auto"/>
          <w:sz w:val="32"/>
          <w:szCs w:val="32"/>
          <w:lang w:eastAsia="zh-CN"/>
        </w:rPr>
        <w:t>深入贯彻落实党中央、国务院决策部署，积极对接本地重点企业，了解企业生产经营情况，对企业关注的税收优惠、涉税风险等事项提供税收支持。抓好窗口服务工作，全面落实首问责任、预约办税、导税服务等各项制度，有效解决纳税人缴费人反映的税费优惠政策落实工作中遇到的政策适用、纳税服务、风险防范等方面的问题，确保各项税费政策落实落细。</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9"/>
          <w:rFonts w:hint="eastAsia" w:ascii="楷体_GB2312" w:hAnsi="楷体_GB2312" w:eastAsia="楷体_GB2312" w:cs="楷体_GB2312"/>
          <w:b w:val="0"/>
          <w:bCs/>
          <w:color w:val="auto"/>
          <w:sz w:val="32"/>
          <w:szCs w:val="32"/>
          <w:lang w:eastAsia="zh-CN"/>
        </w:rPr>
      </w:pPr>
      <w:r>
        <w:rPr>
          <w:rStyle w:val="9"/>
          <w:rFonts w:hint="eastAsia" w:ascii="楷体_GB2312" w:hAnsi="楷体_GB2312" w:eastAsia="楷体_GB2312" w:cs="楷体_GB2312"/>
          <w:b w:val="0"/>
          <w:bCs/>
          <w:color w:val="auto"/>
          <w:sz w:val="32"/>
          <w:szCs w:val="32"/>
          <w:lang w:eastAsia="zh-CN"/>
        </w:rPr>
        <w:t>（三）健全依法行政领导体制机制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将主要负责人作为履行推进法治建设第一责任人，带头尊崇法治、敬畏法律，不断提高运用法治思维和法治方式深化改革、推动发展、化解矛盾、维护稳定、应对风险的能力。第一责任人坚持做到重要法治工作亲自部署、重大法治问题亲自过问、重点法治环节亲自协调、重要法治任务亲自督办，切实把各项法治建设工作落到实处，同时将建设法治政府摆在全局工作的重要位置，定期召开专题会议，及时研究解决法治建设中的重大问题，确保法治建设工作有序推进。在全局构建“一把手”负总责、分管领导具体抓、各部门协同推进的法治建设工作格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（四）持续推进依法科学民主决策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我局充分发挥重大税务事项集体决策机制作用，对于局内重大税收决策及出现的疑难税收问题进行集体审议，</w:t>
      </w:r>
      <w:r>
        <w:rPr>
          <w:rFonts w:hint="eastAsia" w:ascii="仿宋_GB2312" w:hAnsi="仿宋_GB2312" w:eastAsia="仿宋_GB2312" w:cs="仿宋_GB2312"/>
          <w:color w:val="auto"/>
          <w:sz w:val="32"/>
          <w:szCs w:val="32"/>
          <w:lang w:val="en-US" w:eastAsia="zh-CN"/>
        </w:rPr>
        <w:t>2025年按要求开展土地增值税清算集体审议工作。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Style w:val="9"/>
          <w:rFonts w:hint="eastAsia" w:ascii="楷体_GB2312" w:hAnsi="楷体_GB2312" w:eastAsia="楷体_GB2312" w:cs="楷体_GB2312"/>
          <w:b w:val="0"/>
          <w:bCs/>
          <w:color w:val="auto"/>
          <w:sz w:val="32"/>
          <w:szCs w:val="32"/>
          <w:lang w:eastAsia="zh-CN"/>
        </w:rPr>
      </w:pPr>
      <w:r>
        <w:rPr>
          <w:rStyle w:val="9"/>
          <w:rFonts w:hint="eastAsia" w:ascii="楷体_GB2312" w:hAnsi="楷体_GB2312" w:eastAsia="楷体_GB2312" w:cs="楷体_GB2312"/>
          <w:b w:val="0"/>
          <w:bCs/>
          <w:color w:val="auto"/>
          <w:sz w:val="32"/>
          <w:szCs w:val="32"/>
        </w:rPr>
        <w:t>（</w:t>
      </w:r>
      <w:r>
        <w:rPr>
          <w:rStyle w:val="9"/>
          <w:rFonts w:hint="eastAsia" w:ascii="楷体_GB2312" w:hAnsi="楷体_GB2312" w:eastAsia="楷体_GB2312" w:cs="楷体_GB2312"/>
          <w:b w:val="0"/>
          <w:bCs/>
          <w:color w:val="auto"/>
          <w:sz w:val="32"/>
          <w:szCs w:val="32"/>
          <w:lang w:eastAsia="zh-CN"/>
        </w:rPr>
        <w:t>五</w:t>
      </w:r>
      <w:r>
        <w:rPr>
          <w:rStyle w:val="9"/>
          <w:rFonts w:hint="eastAsia" w:ascii="楷体_GB2312" w:hAnsi="楷体_GB2312" w:eastAsia="楷体_GB2312" w:cs="楷体_GB2312"/>
          <w:b w:val="0"/>
          <w:bCs/>
          <w:color w:val="auto"/>
          <w:sz w:val="32"/>
          <w:szCs w:val="32"/>
        </w:rPr>
        <w:t>）</w:t>
      </w:r>
      <w:r>
        <w:rPr>
          <w:rStyle w:val="9"/>
          <w:rFonts w:hint="eastAsia" w:ascii="楷体_GB2312" w:hAnsi="楷体_GB2312" w:eastAsia="楷体_GB2312" w:cs="楷体_GB2312"/>
          <w:b w:val="0"/>
          <w:bCs/>
          <w:color w:val="auto"/>
          <w:sz w:val="32"/>
          <w:szCs w:val="32"/>
          <w:lang w:eastAsia="zh-CN"/>
        </w:rPr>
        <w:t>坚持严格规范公正文明执法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1.持续落实行政执法“三项制度”。通过执法信息公示平台、官方网站、办税服务厅公示栏等途径，依法及时向社会公布</w:t>
      </w:r>
      <w:r>
        <w:rPr>
          <w:rFonts w:hint="eastAsia" w:ascii="仿宋_GB2312" w:hAnsi="仿宋_GB2312" w:eastAsia="仿宋_GB2312" w:cs="仿宋_GB2312"/>
          <w:color w:val="auto"/>
          <w:sz w:val="32"/>
          <w:szCs w:val="32"/>
          <w:lang w:eastAsia="zh-CN"/>
        </w:rPr>
        <w:t>非正常户、欠税公告、定期定额、行政处罚等</w:t>
      </w:r>
      <w:r>
        <w:rPr>
          <w:rFonts w:hint="eastAsia" w:ascii="仿宋_GB2312" w:hAnsi="仿宋_GB2312" w:eastAsia="仿宋_GB2312" w:cs="仿宋_GB2312"/>
          <w:color w:val="auto"/>
          <w:sz w:val="32"/>
          <w:szCs w:val="32"/>
          <w:lang w:val="en-US" w:eastAsia="zh-CN"/>
        </w:rPr>
        <w:t>税务执法信息，便于纳税人缴费人知晓各类信息。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i w:val="0"/>
          <w:iCs w:val="0"/>
          <w:caps w:val="0"/>
          <w:color w:val="auto"/>
          <w:spacing w:val="0"/>
          <w:sz w:val="32"/>
          <w:szCs w:val="32"/>
          <w:lang w:val="en-US" w:eastAsia="zh-CN"/>
        </w:rPr>
        <w:t>组织召开</w:t>
      </w:r>
      <w:r>
        <w:rPr>
          <w:rFonts w:hint="eastAsia" w:ascii="仿宋_GB2312" w:hAnsi="仿宋_GB2312" w:eastAsia="仿宋_GB2312" w:cs="仿宋_GB2312"/>
          <w:i w:val="0"/>
          <w:iCs w:val="0"/>
          <w:caps w:val="0"/>
          <w:color w:val="auto"/>
          <w:spacing w:val="0"/>
          <w:sz w:val="32"/>
          <w:szCs w:val="32"/>
        </w:rPr>
        <w:t>全面依法行政领导小组会议</w:t>
      </w:r>
      <w:r>
        <w:rPr>
          <w:rFonts w:hint="eastAsia" w:ascii="仿宋_GB2312" w:hAnsi="仿宋_GB2312" w:eastAsia="仿宋_GB2312" w:cs="仿宋_GB2312"/>
          <w:i w:val="0"/>
          <w:iCs w:val="0"/>
          <w:caps w:val="0"/>
          <w:color w:val="auto"/>
          <w:spacing w:val="0"/>
          <w:sz w:val="32"/>
          <w:szCs w:val="32"/>
          <w:lang w:eastAsia="zh-CN"/>
        </w:rPr>
        <w:t>，审议通过了局</w:t>
      </w:r>
      <w:r>
        <w:rPr>
          <w:rFonts w:hint="eastAsia" w:ascii="仿宋_GB2312" w:hAnsi="仿宋_GB2312" w:eastAsia="仿宋_GB2312" w:cs="仿宋_GB2312"/>
          <w:color w:val="auto"/>
          <w:sz w:val="32"/>
          <w:szCs w:val="32"/>
          <w:lang w:val="en-US" w:eastAsia="zh-CN"/>
        </w:rPr>
        <w:t>机关及所辖的第一税务分局、第二税务分局、希日塔拉街道税务分局和阿尔善宝力格镇税务所的权责清单，并于11月28日通过政务外网进行公示。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3.规范自由裁量权实现执法公正。强化对新公布的</w:t>
      </w:r>
      <w:r>
        <w:rPr>
          <w:rFonts w:hint="eastAsia" w:ascii="仿宋_GB2312" w:hAnsi="仿宋_GB2312" w:eastAsia="仿宋_GB2312" w:cs="仿宋_GB2312"/>
          <w:color w:val="auto"/>
          <w:sz w:val="32"/>
          <w:szCs w:val="32"/>
          <w:lang w:eastAsia="zh-CN"/>
        </w:rPr>
        <w:t>《华北区域税务行政处罚裁量基准》的学习，定期开展督导检查，通过抽取系统内的行政处罚数据，人工比对筛查是否存在处罚有误的问题，同时实地走访税源，及时掌握行政处罚裁量基准应用过程中出现的各种情况，对自由裁量权实施过程中需要注意的如“个人”“一年内首次违反”以及在处罚决定书中载明行政处罚裁量基准的适用情况，需列明《华北区域税务行政处罚裁量基准》相关规定等几点事项进行再次强调，确保裁量基准落实到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auto"/>
          <w:sz w:val="32"/>
          <w:szCs w:val="32"/>
        </w:rPr>
      </w:pPr>
      <w:r>
        <w:rPr>
          <w:rStyle w:val="9"/>
          <w:rFonts w:hint="eastAsia" w:ascii="仿宋_GB2312" w:hAnsi="仿宋_GB2312" w:eastAsia="仿宋_GB2312" w:cs="仿宋_GB2312"/>
          <w:b w:val="0"/>
          <w:bCs/>
          <w:color w:val="auto"/>
          <w:sz w:val="32"/>
          <w:szCs w:val="32"/>
          <w:lang w:val="en-US" w:eastAsia="zh-CN"/>
        </w:rPr>
        <w:t>4</w:t>
      </w:r>
      <w:r>
        <w:rPr>
          <w:rStyle w:val="9"/>
          <w:rFonts w:hint="eastAsia" w:ascii="仿宋_GB2312" w:hAnsi="仿宋_GB2312" w:eastAsia="仿宋_GB2312" w:cs="仿宋_GB2312"/>
          <w:b w:val="0"/>
          <w:bCs/>
          <w:color w:val="auto"/>
          <w:sz w:val="32"/>
          <w:szCs w:val="32"/>
        </w:rPr>
        <w:t>.</w:t>
      </w:r>
      <w:r>
        <w:rPr>
          <w:rStyle w:val="9"/>
          <w:rFonts w:hint="eastAsia" w:ascii="仿宋_GB2312" w:hAnsi="仿宋_GB2312" w:eastAsia="仿宋_GB2312" w:cs="仿宋_GB2312"/>
          <w:b w:val="0"/>
          <w:bCs/>
          <w:color w:val="auto"/>
          <w:sz w:val="32"/>
          <w:szCs w:val="32"/>
          <w:lang w:eastAsia="zh-CN"/>
        </w:rPr>
        <w:t>落实“首违不罚”事项清单。</w:t>
      </w:r>
      <w:r>
        <w:rPr>
          <w:rFonts w:hint="eastAsia" w:ascii="仿宋_GB2312" w:hAnsi="仿宋_GB2312" w:eastAsia="仿宋_GB2312" w:cs="仿宋_GB2312"/>
          <w:color w:val="auto"/>
          <w:sz w:val="32"/>
          <w:szCs w:val="32"/>
        </w:rPr>
        <w:t>严格贯彻落实“首违不罚”清单制度，对轻微违法行为适用“首违不罚”，从快从简解决问题，对当事人加强税法宣传和辅导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有效提高执法效率，促进纳税人税收遵从。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（六）依法预防处置重大突发事件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立健全突发事件应急预案体系，坚持用法治思维及时、有效、有序应对突发事件，加强思想认识和分析研判，组织排查各类风险隐患和矛盾问题，加固值班制度和应急预案，同时强化“舆情无小事”的责任感，持续完善应对机制，确保税收工作开展稳定。</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（七）健全社会矛盾纠纷行政预防化解体系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1.贯彻行政复议和应诉工作机制。按照《税务行政复议规则》《税务行政应诉工作规程》等文件精神，规范落实税务行政复议和应诉工作。2025年我局未受理行政复议、行政诉讼案件。</w:t>
      </w:r>
    </w:p>
    <w:p>
      <w:pPr>
        <w:spacing w:line="560" w:lineRule="exact"/>
        <w:ind w:firstLine="640" w:firstLineChars="200"/>
        <w:rPr>
          <w:rFonts w:hint="default"/>
          <w:color w:val="auto"/>
          <w:lang w:val="en-US" w:eastAsia="zh-CN"/>
        </w:rPr>
      </w:pPr>
      <w:r>
        <w:rPr>
          <w:rFonts w:hint="eastAsia" w:ascii="仿宋_GB2312" w:hAnsi="仿宋_GB2312" w:eastAsia="仿宋_GB2312" w:cs="仿宋_GB2312"/>
          <w:color w:val="auto"/>
          <w:sz w:val="32"/>
          <w:szCs w:val="32"/>
          <w:lang w:val="en-US" w:eastAsia="zh-CN"/>
        </w:rPr>
        <w:t>2.健全多元化纠纷解决机制。</w:t>
      </w:r>
      <w:r>
        <w:rPr>
          <w:rFonts w:hint="eastAsia" w:ascii="仿宋_GB2312" w:hAnsi="仿宋_GB2312" w:eastAsia="仿宋_GB2312" w:cs="仿宋_GB2312"/>
          <w:color w:val="auto"/>
          <w:sz w:val="32"/>
          <w:szCs w:val="32"/>
          <w:lang w:eastAsia="zh-CN"/>
        </w:rPr>
        <w:t>成立“涉税争议调解工作室”，“难题帮办”工作室，建立“难题帮办工作台账”，梳理“难题帮办工作流程”，开设税收专家“门诊”特色品牌，采用“一事一会诊”方式，为纳税人送上“定制化”服务，及时解决涉税问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color w:val="auto"/>
          <w:sz w:val="32"/>
          <w:szCs w:val="32"/>
          <w:lang w:eastAsia="zh-CN"/>
        </w:rPr>
      </w:pPr>
      <w:r>
        <w:rPr>
          <w:rStyle w:val="9"/>
          <w:rFonts w:hint="eastAsia" w:ascii="楷体_GB2312" w:hAnsi="楷体_GB2312" w:eastAsia="楷体_GB2312" w:cs="楷体_GB2312"/>
          <w:b w:val="0"/>
          <w:bCs/>
          <w:color w:val="auto"/>
          <w:sz w:val="32"/>
          <w:szCs w:val="32"/>
        </w:rPr>
        <w:t>（</w:t>
      </w:r>
      <w:r>
        <w:rPr>
          <w:rStyle w:val="9"/>
          <w:rFonts w:hint="eastAsia" w:ascii="楷体_GB2312" w:hAnsi="楷体_GB2312" w:eastAsia="楷体_GB2312" w:cs="楷体_GB2312"/>
          <w:b w:val="0"/>
          <w:bCs/>
          <w:color w:val="auto"/>
          <w:sz w:val="32"/>
          <w:szCs w:val="32"/>
          <w:lang w:eastAsia="zh-CN"/>
        </w:rPr>
        <w:t>八</w:t>
      </w:r>
      <w:r>
        <w:rPr>
          <w:rStyle w:val="9"/>
          <w:rFonts w:hint="eastAsia" w:ascii="楷体_GB2312" w:hAnsi="楷体_GB2312" w:eastAsia="楷体_GB2312" w:cs="楷体_GB2312"/>
          <w:b w:val="0"/>
          <w:bCs/>
          <w:color w:val="auto"/>
          <w:sz w:val="32"/>
          <w:szCs w:val="32"/>
        </w:rPr>
        <w:t>）</w:t>
      </w:r>
      <w:r>
        <w:rPr>
          <w:rStyle w:val="9"/>
          <w:rFonts w:hint="eastAsia" w:ascii="楷体_GB2312" w:hAnsi="楷体_GB2312" w:eastAsia="楷体_GB2312" w:cs="楷体_GB2312"/>
          <w:b w:val="0"/>
          <w:bCs/>
          <w:color w:val="auto"/>
          <w:sz w:val="32"/>
          <w:szCs w:val="32"/>
          <w:lang w:eastAsia="zh-CN"/>
        </w:rPr>
        <w:t>全面推行政务公开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严格按照《中华人民共和国政府信息公开条例》等要求，扎实推进政务公开提质增效。一方面，动态更新完善公开内容，全面、准确主动公开本局机构职能、行政职权、税收执法权责、社会服务职能等核心信息；另一方面，充分发挥税务特色平台载体作用，精心制作宣传栏、定期更新广告栏，同时依托办税服务厅显示屏等便民设施，常态化公开税收宣传政策。2025年，锡市税务局严格按照《条例》及有关解释文件要求，并经过保密审查和领导签字后在税务局门户网站主动公开信息51条，当年未发生因信息公布不当造成不良影响或泄露国家机密、个人隐私的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（九）持续推进税务创新落实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1.打</w:t>
      </w:r>
      <w:r>
        <w:rPr>
          <w:rFonts w:hint="eastAsia" w:ascii="仿宋_GB2312" w:hAnsi="仿宋_GB2312" w:eastAsia="仿宋_GB2312" w:cs="仿宋_GB2312"/>
          <w:color w:val="auto"/>
          <w:sz w:val="32"/>
          <w:szCs w:val="32"/>
        </w:rPr>
        <w:t>造特色服务载体，创建“娜仁工作室”，专项攻坚办税服务厅疑难税费事项办理、税费争议调解，为纳税人缴费人提供专业化、针对性解决方案，有效化解征纳矛盾；设立“简事易办”专属窗口，梳理高频简易税费事项清单，实现简易业务即办即走，大幅压缩办税时长，切实提升办税便捷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2.主</w:t>
      </w:r>
      <w:r>
        <w:rPr>
          <w:rFonts w:hint="eastAsia" w:ascii="仿宋_GB2312" w:hAnsi="仿宋_GB2312" w:eastAsia="仿宋_GB2312" w:cs="仿宋_GB2312"/>
          <w:color w:val="auto"/>
          <w:sz w:val="32"/>
          <w:szCs w:val="32"/>
        </w:rPr>
        <w:t>动延伸税费服务触角，强化政策精准推送与实操辅导，全年累计开展外出税费政策宣传</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次，精准对接社区、政务服务中心开展社保缴费小程序实操培训，联动人力资源部门在就业创业培训中嵌入税费优惠政策讲解，借力民族宣传月、个体户宣传月等重要节点，开展定制化、接地气的政策宣讲，让税费政策精准覆盖各类缴费群体。同时保障征纳互动服务运营中心平稳运行，持续优化运行机制，成功实现“一拖十”高效服务模式，快速响应纳税人缴费人咨询诉求，打通税费服务“最后一公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楷体_GB2312" w:hAnsi="楷体_GB2312" w:eastAsia="楷体_GB2312" w:cs="楷体_GB2312"/>
          <w:b w:val="0"/>
          <w:bCs/>
          <w:color w:val="auto"/>
          <w:sz w:val="32"/>
          <w:szCs w:val="32"/>
        </w:rPr>
      </w:pPr>
      <w:r>
        <w:rPr>
          <w:rStyle w:val="9"/>
          <w:rFonts w:hint="eastAsia" w:ascii="楷体_GB2312" w:hAnsi="楷体_GB2312" w:eastAsia="楷体_GB2312" w:cs="楷体_GB2312"/>
          <w:b w:val="0"/>
          <w:bCs/>
          <w:color w:val="auto"/>
          <w:sz w:val="32"/>
          <w:szCs w:val="32"/>
        </w:rPr>
        <w:t>（</w:t>
      </w:r>
      <w:r>
        <w:rPr>
          <w:rStyle w:val="9"/>
          <w:rFonts w:hint="eastAsia" w:ascii="楷体_GB2312" w:hAnsi="楷体_GB2312" w:eastAsia="楷体_GB2312" w:cs="楷体_GB2312"/>
          <w:b w:val="0"/>
          <w:bCs/>
          <w:color w:val="auto"/>
          <w:sz w:val="32"/>
          <w:szCs w:val="32"/>
          <w:lang w:eastAsia="zh-CN"/>
        </w:rPr>
        <w:t>十</w:t>
      </w:r>
      <w:r>
        <w:rPr>
          <w:rStyle w:val="9"/>
          <w:rFonts w:hint="eastAsia" w:ascii="楷体_GB2312" w:hAnsi="楷体_GB2312" w:eastAsia="楷体_GB2312" w:cs="楷体_GB2312"/>
          <w:b w:val="0"/>
          <w:bCs/>
          <w:color w:val="auto"/>
          <w:sz w:val="32"/>
          <w:szCs w:val="32"/>
        </w:rPr>
        <w:t>）增强</w:t>
      </w:r>
      <w:r>
        <w:rPr>
          <w:rStyle w:val="9"/>
          <w:rFonts w:hint="eastAsia" w:ascii="楷体_GB2312" w:hAnsi="楷体_GB2312" w:eastAsia="楷体_GB2312" w:cs="楷体_GB2312"/>
          <w:b w:val="0"/>
          <w:bCs/>
          <w:color w:val="auto"/>
          <w:sz w:val="32"/>
          <w:szCs w:val="32"/>
          <w:lang w:eastAsia="zh-CN"/>
        </w:rPr>
        <w:t>全社会</w:t>
      </w:r>
      <w:r>
        <w:rPr>
          <w:rStyle w:val="9"/>
          <w:rFonts w:hint="eastAsia" w:ascii="楷体_GB2312" w:hAnsi="楷体_GB2312" w:eastAsia="楷体_GB2312" w:cs="楷体_GB2312"/>
          <w:b w:val="0"/>
          <w:bCs/>
          <w:color w:val="auto"/>
          <w:sz w:val="32"/>
          <w:szCs w:val="32"/>
        </w:rPr>
        <w:t>税收法治观念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1.充分发挥“兴税平台”的作用，积极参与“强基工程”培训。按时参加区局、盟局在推送的网络学习课程，保障全员参训，按照强基培训要求，全员完成“强基30讲”课程及课后练习。</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2.持续推进教育培训，</w:t>
      </w:r>
      <w:r>
        <w:rPr>
          <w:rFonts w:hint="eastAsia" w:ascii="仿宋_GB2312" w:hAnsi="仿宋_GB2312" w:eastAsia="仿宋_GB2312" w:cs="仿宋_GB2312"/>
          <w:color w:val="auto"/>
          <w:spacing w:val="-6"/>
          <w:kern w:val="2"/>
          <w:sz w:val="32"/>
          <w:szCs w:val="32"/>
          <w:lang w:val="en-US" w:eastAsia="zh-CN" w:bidi="ar-SA"/>
        </w:rPr>
        <w:t>要切实扛牢“工作主管、学习主抓、资源主建”的条线责任，坚持线上线下并重，设置理论性课程、公共性课程、税收业务类课程。线上依托学习兴税等渠道开展培训，线下通过场景应用、案例分析和操作演练，进一步突出业务培训的实战化、实操性、实用性。</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kern w:val="2"/>
          <w:sz w:val="32"/>
          <w:szCs w:val="32"/>
          <w:lang w:val="en-US" w:eastAsia="zh-CN" w:bidi="ar-SA"/>
        </w:rPr>
      </w:pPr>
      <w:r>
        <w:rPr>
          <w:rFonts w:hint="eastAsia" w:ascii="仿宋_GB2312" w:hAnsi="仿宋_GB2312" w:eastAsia="仿宋_GB2312" w:cs="仿宋_GB2312"/>
          <w:color w:val="auto"/>
          <w:spacing w:val="-6"/>
          <w:kern w:val="2"/>
          <w:sz w:val="32"/>
          <w:szCs w:val="32"/>
          <w:lang w:val="en-US" w:eastAsia="zh-CN" w:bidi="ar-SA"/>
        </w:rPr>
        <w:t>3.加强全体税务干部学习。锡林浩特市税务局坚持学用结合、普治并举，按照“谁执法谁普法”普法责任制要求，将税收法治宣传教育融入执法活动中，全面推动税务干部学法用法、促进税务部门依法决策、规范税务人员执法行为、推进政务阳光透明运行。聚焦领导干部这个“关键少数”，深入学习领会习近平法治思想，深入宣传中国特色社会主义法律体系，严格执行会前学法制度，在党委会、党委理论学习中心组等会议专题学法，推动学法经常化，自觉做带头学法、模范守法、严格执法的模范；持续加强税务人员学法用法培训，把税收法治宣传教育作为干部教育培训重点内容，开展宪法学习培训、通用法律知识、税收法律知识等专题培训，增强依法行政能力。</w:t>
      </w: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608" w:firstLineChars="200"/>
        <w:textAlignment w:val="auto"/>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线上普法与线下普法相结合。线上，充分利用税务网站、12366纳税缴费服务热线、纳税人学堂、税法宣传小视频、征纳互动平台等多元化渠道，在线答疑、现场培训、远程咨询等多种方式，为纳税人缴费人提供全方位、多层次的办税缴费咨询辅导和税收普法宣传服务。线下，税收普法海报、视频进社区、商圈、企业、学校展播，召开专题座谈会、与连A企业谈诚信、深入锡林郭勒大庄园肉业有限责任公司，为企业送上定制化辅导套餐，“手把手”演示操作流程，并主动靠前服务，详细梳理企业拓展业务时的潜在财税风险点，让财务人员精准掌握政策要领，自觉规范发票使用行为，引导企业及时自查自纠，不断完善财务管理制度。邀请当地中小学生走进税务局“沉浸式”体验税收工作，在税务“老师”的指导下，亲手书写“法治公平”“诚信纳税”等口号，在孩子们心中播下了“税法”的种子，为孩子们厚植“税法基因”，让税法从校园“萌芽”、向家庭“发枝”、在社会“结果”，营造了良好的税收宣传氛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5" w:right="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、推进法治政府建设工作中存在的不足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我局在法治政府建设工作方面取得了一定的成效，但仍存在一些不足，一是税务干部运用法治思维和法治方式解决问题、推动工作、化解矛盾的能力有待提升；二是高素质专业化法治人才的培养力度仍需加强。</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lang w:val="en-US" w:eastAsia="zh-CN"/>
        </w:rPr>
        <w:t>2026年工作思路</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color w:val="auto"/>
          <w:sz w:val="32"/>
          <w:szCs w:val="32"/>
          <w:lang w:eastAsia="zh-CN"/>
        </w:rPr>
      </w:pPr>
      <w:r>
        <w:rPr>
          <w:rStyle w:val="9"/>
          <w:rFonts w:hint="eastAsia" w:ascii="楷体_GB2312" w:hAnsi="楷体_GB2312" w:eastAsia="楷体_GB2312" w:cs="楷体_GB2312"/>
          <w:b w:val="0"/>
          <w:bCs/>
          <w:color w:val="auto"/>
          <w:sz w:val="32"/>
          <w:szCs w:val="32"/>
          <w:lang w:eastAsia="zh-CN"/>
        </w:rPr>
        <w:t>（一）持续加强法治队伍建设</w:t>
      </w:r>
      <w:r>
        <w:rPr>
          <w:rFonts w:hint="eastAsia" w:ascii="楷体_GB2312" w:hAnsi="楷体_GB2312" w:eastAsia="楷体_GB2312" w:cs="楷体_GB2312"/>
          <w:b w:val="0"/>
          <w:bCs/>
          <w:color w:val="auto"/>
          <w:sz w:val="32"/>
          <w:szCs w:val="32"/>
        </w:rPr>
        <w:t>。</w:t>
      </w:r>
      <w:r>
        <w:rPr>
          <w:rFonts w:hint="eastAsia" w:ascii="仿宋_GB2312" w:hAnsi="仿宋_GB2312" w:eastAsia="仿宋_GB2312" w:cs="仿宋_GB2312"/>
          <w:b w:val="0"/>
          <w:bCs/>
          <w:color w:val="auto"/>
          <w:sz w:val="32"/>
          <w:szCs w:val="32"/>
          <w:lang w:eastAsia="zh-CN"/>
        </w:rPr>
        <w:t>鼓励干部参加国家统一法律职业资格考试，培养善于融通法律、运用法律知识解决问题的专业人才队伍，提升依法行政水平。</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pacing w:before="0" w:beforeAutospacing="0" w:after="0" w:afterAutospacing="0" w:line="560" w:lineRule="exact"/>
        <w:ind w:firstLine="640" w:firstLineChars="200"/>
        <w:jc w:val="both"/>
        <w:textAlignment w:val="baseline"/>
        <w:rPr>
          <w:rStyle w:val="9"/>
          <w:rFonts w:hint="eastAsia" w:ascii="仿宋_GB2312" w:hAnsi="仿宋_GB2312" w:eastAsia="仿宋_GB2312" w:cs="仿宋_GB2312"/>
          <w:b w:val="0"/>
          <w:bCs/>
          <w:color w:val="auto"/>
          <w:sz w:val="32"/>
          <w:szCs w:val="32"/>
          <w:lang w:eastAsia="zh-CN"/>
        </w:rPr>
      </w:pPr>
      <w:r>
        <w:rPr>
          <w:rStyle w:val="9"/>
          <w:rFonts w:hint="eastAsia" w:ascii="楷体_GB2312" w:hAnsi="楷体_GB2312" w:eastAsia="楷体_GB2312" w:cs="楷体_GB2312"/>
          <w:b w:val="0"/>
          <w:bCs/>
          <w:color w:val="auto"/>
          <w:sz w:val="32"/>
          <w:szCs w:val="32"/>
          <w:lang w:eastAsia="zh-CN"/>
        </w:rPr>
        <w:t>（二）全力提升行政执法效能。</w:t>
      </w:r>
      <w:r>
        <w:rPr>
          <w:rStyle w:val="9"/>
          <w:rFonts w:hint="eastAsia" w:ascii="仿宋_GB2312" w:hAnsi="仿宋_GB2312" w:eastAsia="仿宋_GB2312" w:cs="仿宋_GB2312"/>
          <w:b w:val="0"/>
          <w:bCs/>
          <w:color w:val="auto"/>
          <w:sz w:val="32"/>
          <w:szCs w:val="32"/>
          <w:lang w:eastAsia="zh-CN"/>
        </w:rPr>
        <w:t>严格执行《华北区域税务行政处罚裁量基准》，落实落细“首违不罚”清单，切实保障税务行政相对人合法权益。常态化开展自查工作，防范执法风险，提高执法的精准度和规范性。</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val="en-US" w:eastAsia="zh-CN" w:bidi="ar-SA"/>
        </w:rPr>
      </w:pPr>
      <w:r>
        <w:rPr>
          <w:rStyle w:val="9"/>
          <w:rFonts w:hint="eastAsia" w:ascii="楷体_GB2312" w:hAnsi="楷体_GB2312" w:eastAsia="楷体_GB2312" w:cs="楷体_GB2312"/>
          <w:b w:val="0"/>
          <w:bCs/>
          <w:color w:val="auto"/>
          <w:sz w:val="32"/>
          <w:szCs w:val="32"/>
          <w:lang w:val="en-US" w:eastAsia="zh-CN"/>
        </w:rPr>
        <w:t>（三）不断优化税收法治环境。</w:t>
      </w:r>
      <w:r>
        <w:rPr>
          <w:rStyle w:val="9"/>
          <w:rFonts w:hint="eastAsia" w:ascii="仿宋_GB2312" w:hAnsi="仿宋_GB2312" w:eastAsia="仿宋_GB2312" w:cs="仿宋_GB2312"/>
          <w:b w:val="0"/>
          <w:bCs/>
          <w:color w:val="auto"/>
          <w:sz w:val="32"/>
          <w:szCs w:val="32"/>
          <w:lang w:val="en-US" w:eastAsia="zh-CN"/>
        </w:rPr>
        <w:t>坚持依法依规征税收费，优化办税服务流程，提高纳税服务质量。加强税收法治宣传教育，创新普法方式，推动普法工作和税收工作融合，提升纳税人缴费人税法遵从度。</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hAnsi="仿宋_GB2312" w:eastAsia="仿宋_GB2312" w:cs="仿宋_GB2312"/>
          <w:snapToGrid w:val="0"/>
          <w:color w:val="auto"/>
          <w:kern w:val="0"/>
          <w:sz w:val="32"/>
          <w:szCs w:val="32"/>
          <w:lang w:val="en-US" w:eastAsia="zh-CN" w:bidi="ar-SA"/>
        </w:rPr>
      </w:pPr>
    </w:p>
    <w:p>
      <w:pPr>
        <w:widowControl w:val="0"/>
        <w:spacing w:line="640" w:lineRule="exact"/>
        <w:ind w:firstLine="657" w:firstLineChars="210"/>
        <w:rPr>
          <w:rFonts w:hint="eastAsia" w:ascii="仿宋_GB2312" w:eastAsia="仿宋_GB2312"/>
          <w:w w:val="98"/>
          <w:sz w:val="32"/>
          <w:szCs w:val="32"/>
        </w:rPr>
      </w:pPr>
    </w:p>
    <w:p/>
    <w:sectPr>
      <w:footerReference r:id="rId5" w:type="first"/>
      <w:footerReference r:id="rId3" w:type="default"/>
      <w:footerReference r:id="rId4" w:type="even"/>
      <w:pgSz w:w="11907" w:h="16840"/>
      <w:pgMar w:top="1304" w:right="1474" w:bottom="1247" w:left="1588" w:header="1701" w:footer="1134" w:gutter="0"/>
      <w:pgNumType w:start="1"/>
      <w:cols w:space="720" w:num="1"/>
      <w:titlePg/>
      <w:docGrid w:linePitch="613"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374" w:y="231"/>
      <w:ind w:right="34" w:rightChars="16"/>
      <w:rPr>
        <w:rStyle w:val="10"/>
        <w:rFonts w:hint="eastAsia"/>
        <w:sz w:val="28"/>
        <w:szCs w:val="24"/>
      </w:rPr>
    </w:pPr>
    <w:r>
      <w:rPr>
        <w:rFonts w:hint="eastAsia"/>
        <w:sz w:val="28"/>
        <w:szCs w:val="24"/>
      </w:rPr>
      <w:t xml:space="preserve">— </w:t>
    </w:r>
    <w:r>
      <w:rPr>
        <w:sz w:val="28"/>
        <w:szCs w:val="24"/>
      </w:rPr>
      <w:fldChar w:fldCharType="begin"/>
    </w:r>
    <w:r>
      <w:rPr>
        <w:rStyle w:val="10"/>
        <w:sz w:val="28"/>
        <w:szCs w:val="24"/>
      </w:rPr>
      <w:instrText xml:space="preserve">PAGE  </w:instrText>
    </w:r>
    <w:r>
      <w:rPr>
        <w:sz w:val="28"/>
        <w:szCs w:val="24"/>
      </w:rPr>
      <w:fldChar w:fldCharType="separate"/>
    </w:r>
    <w:r>
      <w:rPr>
        <w:rStyle w:val="10"/>
        <w:sz w:val="28"/>
        <w:szCs w:val="24"/>
      </w:rPr>
      <w:t>5</w:t>
    </w:r>
    <w:r>
      <w:rPr>
        <w:sz w:val="28"/>
        <w:szCs w:val="24"/>
      </w:rPr>
      <w:fldChar w:fldCharType="end"/>
    </w:r>
    <w:r>
      <w:rPr>
        <w:rStyle w:val="10"/>
        <w:rFonts w:hint="eastAsia"/>
        <w:sz w:val="28"/>
        <w:szCs w:val="24"/>
      </w:rPr>
      <w:t xml:space="preserve"> —</w:t>
    </w:r>
  </w:p>
  <w:p>
    <w:pPr>
      <w:pStyle w:val="5"/>
      <w:ind w:right="1160"/>
      <w:rPr>
        <w:rFonts w:hint="eastAsi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906" w:y="224"/>
      <w:ind w:right="34" w:rightChars="16"/>
      <w:rPr>
        <w:rStyle w:val="10"/>
        <w:rFonts w:hint="eastAsia"/>
        <w:sz w:val="28"/>
        <w:szCs w:val="24"/>
      </w:rPr>
    </w:pPr>
    <w:r>
      <w:rPr>
        <w:rFonts w:hint="eastAsia"/>
        <w:sz w:val="28"/>
        <w:szCs w:val="24"/>
      </w:rPr>
      <w:t xml:space="preserve">— </w:t>
    </w:r>
    <w:r>
      <w:rPr>
        <w:sz w:val="28"/>
        <w:szCs w:val="24"/>
      </w:rPr>
      <w:fldChar w:fldCharType="begin"/>
    </w:r>
    <w:r>
      <w:rPr>
        <w:rStyle w:val="10"/>
        <w:sz w:val="28"/>
        <w:szCs w:val="24"/>
      </w:rPr>
      <w:instrText xml:space="preserve">PAGE  </w:instrText>
    </w:r>
    <w:r>
      <w:rPr>
        <w:sz w:val="28"/>
        <w:szCs w:val="24"/>
      </w:rPr>
      <w:fldChar w:fldCharType="separate"/>
    </w:r>
    <w:r>
      <w:rPr>
        <w:rStyle w:val="10"/>
        <w:sz w:val="28"/>
        <w:szCs w:val="24"/>
      </w:rPr>
      <w:t>6</w:t>
    </w:r>
    <w:r>
      <w:rPr>
        <w:sz w:val="28"/>
        <w:szCs w:val="24"/>
      </w:rPr>
      <w:fldChar w:fldCharType="end"/>
    </w:r>
    <w:r>
      <w:rPr>
        <w:rStyle w:val="10"/>
        <w:rFonts w:hint="eastAsia"/>
        <w:sz w:val="28"/>
        <w:szCs w:val="24"/>
      </w:rPr>
      <w:t xml:space="preserve"> —</w:t>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37BD0"/>
    <w:multiLevelType w:val="singleLevel"/>
    <w:tmpl w:val="D9937BD0"/>
    <w:lvl w:ilvl="0" w:tentative="0">
      <w:start w:val="1"/>
      <w:numFmt w:val="decimal"/>
      <w:pStyle w:val="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C43CF"/>
    <w:rsid w:val="0A61053C"/>
    <w:rsid w:val="4F6C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40" w:lineRule="atLeast"/>
    </w:pPr>
    <w:rPr>
      <w:rFonts w:ascii="仿宋_GB2312" w:eastAsia="仿宋_GB2312"/>
      <w:spacing w:val="-8"/>
      <w:sz w:val="28"/>
    </w:rPr>
  </w:style>
  <w:style w:type="paragraph" w:styleId="3">
    <w:name w:val="Plain Text"/>
    <w:basedOn w:val="1"/>
    <w:next w:val="4"/>
    <w:qFormat/>
    <w:uiPriority w:val="0"/>
    <w:pPr>
      <w:widowControl w:val="0"/>
      <w:overflowPunct/>
      <w:autoSpaceDE/>
      <w:autoSpaceDN/>
      <w:adjustRightInd/>
      <w:textAlignment w:val="auto"/>
    </w:pPr>
    <w:rPr>
      <w:rFonts w:ascii="宋体" w:hAnsi="Courier New"/>
      <w:kern w:val="2"/>
    </w:rPr>
  </w:style>
  <w:style w:type="paragraph" w:styleId="4">
    <w:name w:val="List Number 5"/>
    <w:basedOn w:val="1"/>
    <w:uiPriority w:val="0"/>
    <w:pPr>
      <w:numPr>
        <w:ilvl w:val="0"/>
        <w:numId w:val="1"/>
      </w:numPr>
    </w:pPr>
  </w:style>
  <w:style w:type="paragraph" w:styleId="5">
    <w:name w:val="footer"/>
    <w:basedOn w:val="1"/>
    <w:qFormat/>
    <w:uiPriority w:val="0"/>
    <w:pPr>
      <w:tabs>
        <w:tab w:val="center" w:pos="4153"/>
        <w:tab w:val="right" w:pos="8306"/>
      </w:tabs>
    </w:pPr>
    <w:rPr>
      <w:sz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styleId="11">
    <w:name w:val="List Paragraph"/>
    <w:basedOn w:val="1"/>
    <w:qFormat/>
    <w:uiPriority w:val="34"/>
    <w:pPr>
      <w:ind w:firstLine="420" w:firstLineChars="200"/>
    </w:pPr>
  </w:style>
  <w:style w:type="paragraph" w:customStyle="1" w:styleId="12">
    <w:name w:val="正文首行缩进1"/>
    <w:basedOn w:val="2"/>
    <w:qFormat/>
    <w:uiPriority w:val="0"/>
    <w:pPr>
      <w:tabs>
        <w:tab w:val="center" w:pos="4153"/>
        <w:tab w:val="right" w:pos="8306"/>
      </w:tabs>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2026-03-04T07:55:00Z</dcterms:created>
  <dc:creator>刘轶宏</dc:creator>
  <cp:lastModifiedBy>刘轶宏</cp:lastModifiedBy>
  <dcterms:modified xsi:type="dcterms:W3CDTF">2026-05-21T01:53:02Z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