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00" w:line="720" w:lineRule="atLeast"/>
        <w:jc w:val="center"/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333333"/>
          <w:kern w:val="0"/>
          <w:sz w:val="48"/>
          <w:szCs w:val="48"/>
          <w:shd w:val="clear" w:color="auto" w:fill="FFFFFF"/>
          <w:lang w:eastAsia="zh-CN" w:bidi="ar"/>
        </w:rPr>
        <w:t>开发区</w:t>
      </w:r>
      <w:r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税务局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202</w:t>
      </w:r>
      <w:r>
        <w:rPr>
          <w:rFonts w:hint="eastAsia" w:ascii="宋体" w:hAnsi="宋体" w:cs="宋体"/>
          <w:b/>
          <w:color w:val="333333"/>
          <w:kern w:val="0"/>
          <w:sz w:val="48"/>
          <w:szCs w:val="48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年“双随机</w:t>
      </w:r>
      <w:r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、一公开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”抽</w:t>
      </w:r>
      <w:r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查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工作</w:t>
      </w:r>
      <w:r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计划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86"/>
        <w:gridCol w:w="975"/>
        <w:gridCol w:w="745"/>
        <w:gridCol w:w="2151"/>
        <w:gridCol w:w="2916"/>
        <w:gridCol w:w="1135"/>
        <w:gridCol w:w="2126"/>
        <w:gridCol w:w="1276"/>
      </w:tblGrid>
      <w:tr>
        <w:trPr>
          <w:trHeight w:val="1095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抽查计划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抽查任务名称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抽查比例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抽查对象范围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发起部门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检查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重点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抽查检查起止时间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本部门执法检查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依法纳税情况执法检查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不定向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不低于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1%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依法检查纳税人、扣缴义务人和其他涉税当事人履行纳税义务、扣缴税款义务情况及其他税法遵从情况。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纳税人包括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税法中规定的直接负有纳税义务的单位和个人。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国家税务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总局内蒙古通辽经济技术开发区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税务局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申报、纳税情况检查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50630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本部门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执法检查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依法纳税情况执法检查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不定向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不低于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1%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依法检查纳税人、扣缴义务人和其他涉税当事人履行纳税义务、扣缴税款义务情况及其他税法遵从情况。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纳税人包括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税法中规定的直接负有纳税义务的单位和个人。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国家税务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总局内蒙古通辽经济技术开发区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税务局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申报、纳税情况检查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50630</w:t>
            </w:r>
          </w:p>
        </w:tc>
      </w:tr>
    </w:tbl>
    <w:p>
      <w:pPr>
        <w:numPr>
          <w:ilvl w:val="0"/>
          <w:numId w:val="0"/>
        </w:numPr>
        <w:ind w:leftChars="0" w:right="0" w:righ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C4FC6"/>
    <w:rsid w:val="497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2025-06-25T03:44:00Z</dcterms:created>
  <dc:creator>王盼盼</dc:creator>
  <cp:lastModifiedBy>王盼盼</cp:lastModifiedBy>
  <dcterms:modified xsi:type="dcterms:W3CDTF">2025-06-25T03:45:27Z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