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napToGrid/>
        <w:spacing w:line="600" w:lineRule="exact"/>
        <w:rPr>
          <w:rFonts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kinsoku/>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国家税务总局库伦旗税务局</w:t>
      </w:r>
    </w:p>
    <w:p>
      <w:pPr>
        <w:keepNext w:val="0"/>
        <w:keepLines w:val="0"/>
        <w:pageBreakBefore w:val="0"/>
        <w:kinsoku/>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2025年“双随机、一公开”监管工作</w:t>
      </w:r>
    </w:p>
    <w:p>
      <w:pPr>
        <w:keepNext w:val="0"/>
        <w:keepLines w:val="0"/>
        <w:pageBreakBefore w:val="0"/>
        <w:kinsoku/>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工作计划</w:t>
      </w:r>
      <w:bookmarkEnd w:id="0"/>
    </w:p>
    <w:p>
      <w:pPr>
        <w:keepNext w:val="0"/>
        <w:keepLines w:val="0"/>
        <w:pageBreakBefore w:val="0"/>
        <w:kinsoku/>
        <w:overflowPunct/>
        <w:topLinePunct w:val="0"/>
        <w:autoSpaceDE/>
        <w:autoSpaceDN/>
        <w:bidi w:val="0"/>
        <w:adjustRightInd/>
        <w:snapToGrid/>
        <w:spacing w:line="600" w:lineRule="exact"/>
        <w:jc w:val="center"/>
        <w:rPr>
          <w:rFonts w:hint="eastAsia" w:ascii="方正小标宋简体" w:hAnsi="方正小标宋简体" w:eastAsia="方正小标宋简体" w:cs="方正小标宋简体"/>
          <w:sz w:val="44"/>
          <w:szCs w:val="44"/>
        </w:rPr>
      </w:pP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税务总局办公厅关于进一步推进“双随机、一公开”监管工作的通知》（税总办发〔2017〕122号），《内蒙古自治区人民政府关于印发&lt;内蒙古自治区市场监管领域部门联合“双随机、一公开”监管实施办法&gt;的通知》（内政发〔2019〕10 号）文件的要求，进一步深化“双随机一公开”工作监管，结合我局实际，特制定了202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年度抽查工作计划。</w:t>
      </w:r>
    </w:p>
    <w:p>
      <w:pPr>
        <w:keepNext w:val="0"/>
        <w:keepLines w:val="0"/>
        <w:pageBreakBefore w:val="0"/>
        <w:numPr>
          <w:ilvl w:val="0"/>
          <w:numId w:val="1"/>
        </w:numPr>
        <w:kinsoku/>
        <w:overflowPunct/>
        <w:topLinePunct w:val="0"/>
        <w:autoSpaceDE/>
        <w:autoSpaceDN/>
        <w:bidi w:val="0"/>
        <w:adjustRightInd/>
        <w:snapToGrid/>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 xml:space="preserve">组织部署阶段 </w:t>
      </w:r>
    </w:p>
    <w:p>
      <w:pPr>
        <w:keepNext w:val="0"/>
        <w:keepLines w:val="0"/>
        <w:pageBreakBefore w:val="0"/>
        <w:kinsoku/>
        <w:overflowPunct/>
        <w:topLinePunct w:val="0"/>
        <w:autoSpaceDE/>
        <w:autoSpaceDN/>
        <w:bidi w:val="0"/>
        <w:adjustRightInd/>
        <w:snapToGrid/>
        <w:spacing w:line="600" w:lineRule="exact"/>
        <w:ind w:left="105"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贯彻落实《内蒙古自治区人民政府关于印发&lt;内蒙古自治区市场监管领域部门联合‘双随机、一公开’监管实施办法&gt;的通知》要求，健全工作机制，统筹执法资源，制定检查的时间节点，有序开展检查任务。</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（一）部门抽查</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检查对象：平台企业名录库中按</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%抽查比例抽取库内企业作为随机抽查对象</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检查年度：202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检查依据：《中华人民共和国税收征收管理法》。</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检查内容：202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年度纳税人税费申报缴纳情况及扣缴义务人和其他涉税当事人履行纳税义务、扣缴税款义务情况和其他税法遵从情况。 </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（二）跨部门联合抽查</w:t>
      </w:r>
    </w:p>
    <w:p>
      <w:pPr>
        <w:keepNext w:val="0"/>
        <w:keepLines w:val="0"/>
        <w:pageBreakBefore w:val="0"/>
        <w:kinsoku/>
        <w:overflowPunct/>
        <w:topLinePunct w:val="0"/>
        <w:autoSpaceDE/>
        <w:autoSpaceDN/>
        <w:bidi w:val="0"/>
        <w:adjustRightInd/>
        <w:snapToGrid/>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新车销售</w:t>
      </w:r>
      <w:r>
        <w:rPr>
          <w:rFonts w:ascii="仿宋_GB2312" w:hAnsi="仿宋_GB2312" w:eastAsia="仿宋_GB2312" w:cs="仿宋_GB2312"/>
          <w:b/>
          <w:bCs/>
          <w:sz w:val="32"/>
          <w:szCs w:val="32"/>
        </w:rPr>
        <w:t>市场检查</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检查对象：新车销售市场</w:t>
      </w:r>
      <w:r>
        <w:rPr>
          <w:rFonts w:ascii="仿宋_GB2312" w:hAnsi="仿宋_GB2312" w:eastAsia="仿宋_GB2312" w:cs="仿宋_GB2312"/>
          <w:sz w:val="32"/>
          <w:szCs w:val="32"/>
        </w:rPr>
        <w:t>和新车经营主体</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检查年度：202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检查依据：《中华人民共和国税收征收管理法》。</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检查内容：档案资料情况</w:t>
      </w:r>
      <w:r>
        <w:rPr>
          <w:rFonts w:ascii="仿宋_GB2312" w:hAnsi="仿宋_GB2312" w:eastAsia="仿宋_GB2312" w:cs="仿宋_GB2312"/>
          <w:sz w:val="32"/>
          <w:szCs w:val="32"/>
        </w:rPr>
        <w:t>；是否按照规定纳入税务管理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是否按规定</w:t>
      </w:r>
      <w:r>
        <w:rPr>
          <w:rFonts w:hint="eastAsia" w:ascii="仿宋_GB2312" w:hAnsi="仿宋_GB2312" w:eastAsia="仿宋_GB2312" w:cs="仿宋_GB2312"/>
          <w:sz w:val="32"/>
          <w:szCs w:val="32"/>
        </w:rPr>
        <w:t>开具</w:t>
      </w:r>
      <w:r>
        <w:rPr>
          <w:rFonts w:ascii="仿宋_GB2312" w:hAnsi="仿宋_GB2312" w:eastAsia="仿宋_GB2312" w:cs="仿宋_GB2312"/>
          <w:sz w:val="32"/>
          <w:szCs w:val="32"/>
        </w:rPr>
        <w:t>发票情况</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明码标价情况</w:t>
      </w:r>
    </w:p>
    <w:p>
      <w:pPr>
        <w:keepNext w:val="0"/>
        <w:keepLines w:val="0"/>
        <w:pageBreakBefore w:val="0"/>
        <w:kinsoku/>
        <w:overflowPunct/>
        <w:topLinePunct w:val="0"/>
        <w:autoSpaceDE/>
        <w:autoSpaceDN/>
        <w:bidi w:val="0"/>
        <w:adjustRightInd/>
        <w:snapToGrid/>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二手车市场</w:t>
      </w:r>
      <w:r>
        <w:rPr>
          <w:rFonts w:ascii="仿宋_GB2312" w:hAnsi="仿宋_GB2312" w:eastAsia="仿宋_GB2312" w:cs="仿宋_GB2312"/>
          <w:b/>
          <w:bCs/>
          <w:sz w:val="32"/>
          <w:szCs w:val="32"/>
        </w:rPr>
        <w:t>检查</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检查对象：二手车交易市场和</w:t>
      </w:r>
      <w:r>
        <w:rPr>
          <w:rFonts w:ascii="仿宋_GB2312" w:hAnsi="仿宋_GB2312" w:eastAsia="仿宋_GB2312" w:cs="仿宋_GB2312"/>
          <w:sz w:val="32"/>
          <w:szCs w:val="32"/>
        </w:rPr>
        <w:t>二手车经营主体</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检查年度：202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年</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检查依据：《中华人民共和国税收征收管理法》。</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检查内容：登记事项检查；</w:t>
      </w:r>
      <w:r>
        <w:rPr>
          <w:rFonts w:ascii="仿宋_GB2312" w:hAnsi="仿宋_GB2312" w:eastAsia="仿宋_GB2312" w:cs="仿宋_GB2312"/>
          <w:sz w:val="32"/>
          <w:szCs w:val="32"/>
        </w:rPr>
        <w:t>公示信息检查；是否按照</w:t>
      </w:r>
      <w:r>
        <w:rPr>
          <w:rFonts w:hint="eastAsia" w:ascii="仿宋_GB2312" w:hAnsi="仿宋_GB2312" w:eastAsia="仿宋_GB2312" w:cs="仿宋_GB2312"/>
          <w:sz w:val="32"/>
          <w:szCs w:val="32"/>
        </w:rPr>
        <w:t>规定纳入</w:t>
      </w:r>
      <w:r>
        <w:rPr>
          <w:rFonts w:ascii="仿宋_GB2312" w:hAnsi="仿宋_GB2312" w:eastAsia="仿宋_GB2312" w:cs="仿宋_GB2312"/>
          <w:sz w:val="32"/>
          <w:szCs w:val="32"/>
        </w:rPr>
        <w:t>税务管理，是否按规定开具二手车销售统一发票。</w:t>
      </w:r>
    </w:p>
    <w:p>
      <w:pPr>
        <w:keepNext w:val="0"/>
        <w:keepLines w:val="0"/>
        <w:pageBreakBefore w:val="0"/>
        <w:kinsoku/>
        <w:overflowPunct/>
        <w:topLinePunct w:val="0"/>
        <w:autoSpaceDE/>
        <w:autoSpaceDN/>
        <w:bidi w:val="0"/>
        <w:adjustRightInd/>
        <w:snapToGrid/>
        <w:spacing w:line="60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参与其他部门跨部门联合抽查工作，临时制定相关抽查检查项目</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二、检查结果录入及公示</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通过登录国家企业信用信息公示系统（部门协同监管平台-内蒙古）系统，按照“双随机一公开”工作流程将检查结果录入予以公示。</w:t>
      </w:r>
    </w:p>
    <w:p>
      <w:pPr>
        <w:keepNext w:val="0"/>
        <w:keepLines w:val="0"/>
        <w:pageBreakBefore w:val="0"/>
        <w:kinsoku/>
        <w:overflowPunct/>
        <w:topLinePunct w:val="0"/>
        <w:autoSpaceDE/>
        <w:autoSpaceDN/>
        <w:bidi w:val="0"/>
        <w:adjustRightInd/>
        <w:snapToGrid/>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三、工作要求</w:t>
      </w:r>
    </w:p>
    <w:p>
      <w:pPr>
        <w:keepNext w:val="0"/>
        <w:keepLines w:val="0"/>
        <w:pageBreakBefore w:val="0"/>
        <w:kinsoku/>
        <w:overflowPunct/>
        <w:topLinePunct w:val="0"/>
        <w:autoSpaceDE/>
        <w:autoSpaceDN/>
        <w:bidi w:val="0"/>
        <w:adjustRightInd/>
        <w:snapToGrid/>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强化组织领导，加强“双随机、一公开”抽查工作的统筹协调，确保工作做实做细，严格遵守抽查纪律，坚持依法抽查，严把检查标准，确保检查结果的合法性、准确性和真实性。</w:t>
      </w: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pPr>
    </w:p>
    <w:p>
      <w:pPr>
        <w:keepNext w:val="0"/>
        <w:keepLines w:val="0"/>
        <w:pageBreakBefore w:val="0"/>
        <w:kinsoku/>
        <w:overflowPunct/>
        <w:topLinePunct w:val="0"/>
        <w:autoSpaceDE/>
        <w:autoSpaceDN/>
        <w:bidi w:val="0"/>
        <w:adjustRightInd/>
        <w:snapToGrid/>
        <w:spacing w:line="600" w:lineRule="exact"/>
        <w:jc w:val="both"/>
        <w:rPr>
          <w:rFonts w:ascii="黑体" w:hAnsi="黑体" w:eastAsia="黑体" w:cs="黑体"/>
          <w:sz w:val="44"/>
          <w:szCs w:val="44"/>
        </w:rPr>
      </w:pPr>
    </w:p>
    <w:p>
      <w:pPr>
        <w:keepNext w:val="0"/>
        <w:keepLines w:val="0"/>
        <w:pageBreakBefore w:val="0"/>
        <w:kinsoku/>
        <w:overflowPunct/>
        <w:topLinePunct w:val="0"/>
        <w:autoSpaceDE/>
        <w:autoSpaceDN/>
        <w:bidi w:val="0"/>
        <w:adjustRightInd/>
        <w:snapToGrid/>
        <w:spacing w:line="60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931741"/>
    <w:multiLevelType w:val="singleLevel"/>
    <w:tmpl w:val="CD931741"/>
    <w:lvl w:ilvl="0" w:tentative="0">
      <w:start w:val="1"/>
      <w:numFmt w:val="chineseCounting"/>
      <w:suff w:val="nothing"/>
      <w:lvlText w:val="%1、"/>
      <w:lvlJc w:val="left"/>
      <w:pPr>
        <w:ind w:left="105"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3C95B3C"/>
    <w:rsid w:val="00166B87"/>
    <w:rsid w:val="00174975"/>
    <w:rsid w:val="001F615F"/>
    <w:rsid w:val="002D3F1D"/>
    <w:rsid w:val="00327776"/>
    <w:rsid w:val="003E6FE5"/>
    <w:rsid w:val="004361C5"/>
    <w:rsid w:val="004400AD"/>
    <w:rsid w:val="00520A94"/>
    <w:rsid w:val="0062113A"/>
    <w:rsid w:val="00833814"/>
    <w:rsid w:val="009614C0"/>
    <w:rsid w:val="00D31111"/>
    <w:rsid w:val="00F50F2E"/>
    <w:rsid w:val="01E2039D"/>
    <w:rsid w:val="03FA79F7"/>
    <w:rsid w:val="15050478"/>
    <w:rsid w:val="2DF65869"/>
    <w:rsid w:val="382D214B"/>
    <w:rsid w:val="4BF4291E"/>
    <w:rsid w:val="617378A8"/>
    <w:rsid w:val="631A2580"/>
    <w:rsid w:val="63C95B3C"/>
    <w:rsid w:val="6FA85E7B"/>
    <w:rsid w:val="741C0E98"/>
    <w:rsid w:val="757A0F84"/>
    <w:rsid w:val="764C3BF1"/>
    <w:rsid w:val="CFE1C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327</Words>
  <Characters>1864</Characters>
  <Lines>15</Lines>
  <Paragraphs>4</Paragraphs>
  <TotalTime>9</TotalTime>
  <ScaleCrop>false</ScaleCrop>
  <LinksUpToDate>false</LinksUpToDate>
  <CharactersWithSpaces>2187</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2025-04-16T20:37:00Z</dcterms:created>
  <dc:creator>郑智勇</dc:creator>
  <cp:lastModifiedBy>于清泉</cp:lastModifiedBy>
  <cp:lastPrinted>2025-04-27T02:08:00Z</cp:lastPrinted>
  <dcterms:modified xsi:type="dcterms:W3CDTF">2025-05-28T07:51:18Z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y fmtid="{D5CDD505-2E9C-101B-9397-08002B2CF9AE}" pid="3" name="ICV">
    <vt:lpwstr>8E8D3548A90AEA8D864A0868EDC9B8A0</vt:lpwstr>
  </property>
</Properties>
</file>