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国家税务总局呼和浩特市税务局机关食堂食材采购项目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2026年03月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1.1具体情况</w:t>
      </w:r>
      <w:r>
        <w:tab/>
      </w:r>
      <w:r>
        <w:fldChar w:fldCharType="begin"/>
      </w:r>
      <w:r>
        <w:instrText xml:space="preserve"> PAGEREF _Toc256000001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1.2项目背景</w:t>
      </w:r>
      <w:r>
        <w:tab/>
      </w:r>
      <w:r>
        <w:fldChar w:fldCharType="begin"/>
      </w:r>
      <w:r>
        <w:instrText xml:space="preserve"> PAGEREF _Toc256000002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1.2.1项目目的、意义及背景</w:t>
      </w:r>
      <w:r>
        <w:tab/>
      </w:r>
      <w:r>
        <w:fldChar w:fldCharType="begin"/>
      </w:r>
      <w:r>
        <w:instrText xml:space="preserve"> PAGEREF _Toc256000003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1.3项目内容</w:t>
      </w:r>
      <w:r>
        <w:tab/>
      </w:r>
      <w:r>
        <w:fldChar w:fldCharType="begin"/>
      </w:r>
      <w:r>
        <w:instrText xml:space="preserve"> PAGEREF _Toc256000004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1.3.1项目建设思路</w:t>
      </w:r>
      <w:r>
        <w:tab/>
      </w:r>
      <w:r>
        <w:fldChar w:fldCharType="begin"/>
      </w:r>
      <w:r>
        <w:instrText xml:space="preserve"> PAGEREF _Toc256000005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1.3.2采购内容</w:t>
      </w:r>
      <w:r>
        <w:tab/>
      </w:r>
      <w:r>
        <w:fldChar w:fldCharType="begin"/>
      </w:r>
      <w:r>
        <w:instrText xml:space="preserve"> PAGEREF _Toc256000006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1.3.3项目实施要求</w:t>
      </w:r>
      <w:r>
        <w:tab/>
      </w:r>
      <w:r>
        <w:fldChar w:fldCharType="begin"/>
      </w:r>
      <w:r>
        <w:instrText xml:space="preserve"> PAGEREF _Toc256000007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1.4其他要求</w:t>
      </w:r>
      <w:r>
        <w:tab/>
      </w:r>
      <w:r>
        <w:fldChar w:fldCharType="begin"/>
      </w:r>
      <w:r>
        <w:instrText xml:space="preserve"> PAGEREF _Toc256000008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rPr>
        <w:t>1.4.1采购标的需执行的相关标准规范</w:t>
      </w:r>
      <w:r>
        <w:tab/>
      </w:r>
      <w:r>
        <w:fldChar w:fldCharType="begin"/>
      </w:r>
      <w:r>
        <w:instrText xml:space="preserve"> PAGEREF _Toc256000009 \h </w:instrText>
      </w:r>
      <w:r>
        <w:fldChar w:fldCharType="separate"/>
      </w:r>
      <w:r>
        <w:t>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_Toc256000010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_Toc256000012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_Toc256000013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_Toc256000014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_Toc256000015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_Toc256000016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_Toc256000017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_Toc256000018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_Toc256000019 \h </w:instrText>
      </w:r>
      <w:r>
        <w:fldChar w:fldCharType="separate"/>
      </w:r>
      <w:r>
        <w:t>5</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_Toc256000020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_Toc256000021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3.2采购产品一览表</w:t>
      </w:r>
      <w:r>
        <w:tab/>
      </w:r>
      <w:r>
        <w:fldChar w:fldCharType="begin"/>
      </w:r>
      <w:r>
        <w:instrText xml:space="preserve"> PAGEREF _Toc256000022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3.3采购产品详细清单及技术指标</w:t>
      </w:r>
      <w:r>
        <w:tab/>
      </w:r>
      <w:r>
        <w:fldChar w:fldCharType="begin"/>
      </w:r>
      <w:r>
        <w:instrText xml:space="preserve"> PAGEREF _Toc256000023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rPr>
        <w:t>3.4服务要求</w:t>
      </w:r>
      <w:r>
        <w:tab/>
      </w:r>
      <w:r>
        <w:fldChar w:fldCharType="begin"/>
      </w:r>
      <w:r>
        <w:instrText xml:space="preserve"> PAGEREF _Toc256000024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rPr>
        <w:t>3.5其他要求</w:t>
      </w:r>
      <w:r>
        <w:tab/>
      </w:r>
      <w:r>
        <w:fldChar w:fldCharType="begin"/>
      </w:r>
      <w:r>
        <w:instrText xml:space="preserve"> PAGEREF _Toc256000025 \h </w:instrText>
      </w:r>
      <w:r>
        <w:fldChar w:fldCharType="separate"/>
      </w:r>
      <w:r>
        <w:t>12</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_Toc256000026 \h </w:instrText>
      </w:r>
      <w:r>
        <w:fldChar w:fldCharType="separate"/>
      </w:r>
      <w:r>
        <w:t>12</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4.1团队要求</w:t>
      </w:r>
      <w:r>
        <w:tab/>
      </w:r>
      <w:r>
        <w:fldChar w:fldCharType="begin"/>
      </w:r>
      <w:r>
        <w:instrText xml:space="preserve"> PAGEREF _Toc256000027 \h </w:instrText>
      </w:r>
      <w:r>
        <w:fldChar w:fldCharType="separate"/>
      </w:r>
      <w:r>
        <w:t>12</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rPr>
        <w:t>4.1.1基本要求</w:t>
      </w:r>
      <w:r>
        <w:tab/>
      </w:r>
      <w:r>
        <w:fldChar w:fldCharType="begin"/>
      </w:r>
      <w:r>
        <w:instrText xml:space="preserve"> PAGEREF _Toc256000028 \h </w:instrText>
      </w:r>
      <w:r>
        <w:fldChar w:fldCharType="separate"/>
      </w:r>
      <w:r>
        <w:t>12</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rPr>
        <w:t>4.1.2优选资质/优选指标</w:t>
      </w:r>
      <w:r>
        <w:tab/>
      </w:r>
      <w:r>
        <w:fldChar w:fldCharType="begin"/>
      </w:r>
      <w:r>
        <w:instrText xml:space="preserve"> PAGEREF _Toc256000029 \h </w:instrText>
      </w:r>
      <w:r>
        <w:fldChar w:fldCharType="separate"/>
      </w:r>
      <w:r>
        <w:t>12</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_Toc256000030 \h </w:instrText>
      </w:r>
      <w:r>
        <w:fldChar w:fldCharType="separate"/>
      </w:r>
      <w:r>
        <w:t>12</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_Toc256000031 \h </w:instrText>
      </w:r>
      <w:r>
        <w:fldChar w:fldCharType="separate"/>
      </w:r>
      <w:r>
        <w:t>13</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_Toc256000032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_Toc256000033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_Toc256000034 \h </w:instrText>
      </w:r>
      <w:r>
        <w:fldChar w:fldCharType="separate"/>
      </w:r>
      <w:r>
        <w:t>14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_Toc256000035 \h </w:instrText>
      </w:r>
      <w:r>
        <w:fldChar w:fldCharType="separate"/>
      </w:r>
      <w:r>
        <w:t>16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_Toc256000036 \h </w:instrText>
      </w:r>
      <w:r>
        <w:fldChar w:fldCharType="separate"/>
      </w:r>
      <w:r>
        <w:t>16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_Toc256000037 \h </w:instrText>
      </w:r>
      <w:r>
        <w:fldChar w:fldCharType="separate"/>
      </w:r>
      <w:r>
        <w:t>16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_Toc256000038 \h </w:instrText>
      </w:r>
      <w:r>
        <w:fldChar w:fldCharType="separate"/>
      </w:r>
      <w:r>
        <w:t>18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_Toc256000039 \h </w:instrText>
      </w:r>
      <w:r>
        <w:fldChar w:fldCharType="separate"/>
      </w:r>
      <w:r>
        <w:t>18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_Toc256000040 \h </w:instrText>
      </w:r>
      <w:r>
        <w:fldChar w:fldCharType="separate"/>
      </w:r>
      <w:r>
        <w:t>19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1"/>
          <w:rFonts w:ascii="仿宋_GB2312" w:hAnsi="仿宋_GB2312" w:eastAsia="仿宋_GB2312" w:cs="仿宋_GB2312"/>
        </w:rPr>
        <w:t>8.3.2知识产权要求</w:t>
      </w:r>
      <w:r>
        <w:tab/>
      </w:r>
      <w:r>
        <w:fldChar w:fldCharType="begin"/>
      </w:r>
      <w:r>
        <w:instrText xml:space="preserve"> PAGEREF _Toc256000041 \h </w:instrText>
      </w:r>
      <w:r>
        <w:fldChar w:fldCharType="separate"/>
      </w:r>
      <w:r>
        <w:t>19</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1.1具体情况</w:t>
      </w:r>
      <w:bookmarkEnd w:id="3"/>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国家税务总局呼和浩特市税务局机关食堂食材采购项目，本项目为职工就餐采购食材，项目预算金额：294万元。拟分两包采购，一包为畜、禽肉（含生鲜及冷冻）类，米面油类，水产类（含生鲜及冷冻），调料类，干货类，采购金额176.4万元；二包为蔬菜类、水果类、饮品类，采购金额为117.6万元。  </w:t>
      </w:r>
    </w:p>
    <w:p>
      <w:pPr>
        <w:pStyle w:val="3"/>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i w:val="0"/>
          <w:iCs w:val="0"/>
        </w:rPr>
        <w:t>1.2项目背景</w:t>
      </w:r>
      <w:bookmarkEnd w:id="4"/>
    </w:p>
    <w:p>
      <w:pPr>
        <w:pStyle w:val="4"/>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sz w:val="28"/>
          <w:szCs w:val="28"/>
        </w:rPr>
        <w:t>1.2.1项目目的、意义及背景</w:t>
      </w:r>
      <w:bookmarkEnd w:id="5"/>
    </w:p>
    <w:p>
      <w:pPr>
        <w:pStyle w:val="13"/>
        <w:spacing w:before="0" w:after="0" w:line="360" w:lineRule="auto"/>
        <w:ind w:firstLine="560"/>
        <w:rPr>
          <w:rFonts w:ascii="Times New Roman" w:hAnsi="Times New Roman" w:eastAsia="Times New Roman" w:cs="Times New Roman"/>
        </w:rPr>
      </w:pPr>
      <w:r>
        <w:rPr>
          <w:rFonts w:ascii="Times New Roman" w:hAnsi="Times New Roman" w:eastAsia="Times New Roman" w:cs="Times New Roman"/>
          <w:sz w:val="28"/>
          <w:szCs w:val="28"/>
        </w:rPr>
        <w:t>实施职工食堂食材采购，是加强机关后勤保障、提升服务效能的重要举措。有利于从源头把控食品安全，切实维护干部职工身体健康；有利于降低采购成本、减少浪费，提高资金使用效益；有利于健全食堂管理机制，推动机关服务标准化、制度化、精细化。项目实施对保障单位正常运转、增强干部职工归属感与凝聚力、营造良好工作氛围具有重要现实意义。</w:t>
      </w:r>
    </w:p>
    <w:p>
      <w:pPr>
        <w:pStyle w:val="3"/>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i w:val="0"/>
          <w:iCs w:val="0"/>
        </w:rPr>
        <w:t>1.3项目内容</w:t>
      </w:r>
      <w:bookmarkEnd w:id="6"/>
    </w:p>
    <w:p>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1.3.1项目建设思路</w:t>
      </w:r>
      <w:bookmarkEnd w:id="7"/>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本项目坚持安全第一、规范高效、保障有力、廉洁透明的总体原则，以满足干部职工就餐需求为核心，以强化食品安全管控为重点，以规范采购流程为抓手，统筹食材质量、价格、服务等全链条管理，构建</w:t>
      </w:r>
      <w:r>
        <w:rPr>
          <w:rFonts w:ascii="Times New Roman" w:hAnsi="Times New Roman" w:eastAsia="Times New Roman" w:cs="Times New Roman"/>
          <w:sz w:val="28"/>
          <w:szCs w:val="28"/>
        </w:rPr>
        <w:t>“集中采购、统一配送、严格验收、规范结算、全程监督”的食材保障体系。</w:t>
      </w:r>
    </w:p>
    <w:p>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1.3.2采购内容</w:t>
      </w:r>
      <w:bookmarkEnd w:id="8"/>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主要包括：畜、禽肉类（含生鲜及冷冻）、米面油类、饮品类、水产类（含生鲜及冷冻）、蔬菜类、水果类、调料类、干货类、蛋类。</w:t>
      </w:r>
    </w:p>
    <w:p>
      <w:pPr>
        <w:pStyle w:val="4"/>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sz w:val="28"/>
          <w:szCs w:val="28"/>
        </w:rPr>
        <w:t>1.3.3项目实施要求</w:t>
      </w:r>
      <w:bookmarkEnd w:id="9"/>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1.3.3.1实施范围要求</w:t>
      </w:r>
    </w:p>
    <w:p>
      <w:pPr>
        <w:pStyle w:val="13"/>
        <w:spacing w:before="0" w:after="0" w:line="360" w:lineRule="auto"/>
        <w:ind w:firstLine="560"/>
        <w:rPr>
          <w:rFonts w:ascii="Times New Roman" w:hAnsi="Times New Roman" w:eastAsia="Times New Roman" w:cs="Times New Roman"/>
        </w:rPr>
      </w:pPr>
      <w:r>
        <w:rPr>
          <w:rFonts w:ascii="Times New Roman" w:hAnsi="Times New Roman" w:eastAsia="Times New Roman" w:cs="Times New Roman"/>
          <w:sz w:val="28"/>
          <w:szCs w:val="28"/>
        </w:rPr>
        <w:t>本项目实施范围覆盖单位职工食堂日常食材供应、配送、验收及相关配套服务，供应商提供全品类食材的分拣、包装、保鲜、运输、配送等一站式服务。</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1.3.3.2实施时间要求</w:t>
      </w:r>
    </w:p>
    <w:p>
      <w:pPr>
        <w:pStyle w:val="13"/>
        <w:spacing w:before="0" w:after="0" w:line="360" w:lineRule="auto"/>
        <w:ind w:firstLine="560"/>
        <w:rPr>
          <w:rFonts w:ascii="Times New Roman" w:hAnsi="Times New Roman" w:eastAsia="Times New Roman" w:cs="Times New Roman"/>
        </w:rPr>
      </w:pPr>
      <w:r>
        <w:rPr>
          <w:rFonts w:ascii="Times New Roman" w:hAnsi="Times New Roman" w:eastAsia="Times New Roman" w:cs="Times New Roman"/>
          <w:sz w:val="28"/>
          <w:szCs w:val="28"/>
        </w:rPr>
        <w:t>自合同签订之日起一年内。</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1.3.3.3实施地点要求</w:t>
      </w:r>
    </w:p>
    <w:p>
      <w:pPr>
        <w:pStyle w:val="13"/>
        <w:spacing w:before="0" w:after="0" w:line="360" w:lineRule="auto"/>
        <w:rPr>
          <w:rFonts w:ascii="Times New Roman" w:hAnsi="Times New Roman" w:eastAsia="Times New Roman" w:cs="Times New Roman"/>
        </w:rPr>
      </w:pPr>
      <w:r>
        <w:rPr>
          <w:rFonts w:ascii="Times New Roman" w:hAnsi="Times New Roman" w:eastAsia="Times New Roman" w:cs="Times New Roman"/>
          <w:sz w:val="28"/>
          <w:szCs w:val="28"/>
        </w:rPr>
        <w:t>呼和浩特市赛罕区陶利西街呼和浩特市税务局机关食堂</w:t>
      </w:r>
    </w:p>
    <w:p>
      <w:pPr>
        <w:pStyle w:val="3"/>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i w:val="0"/>
          <w:iCs w:val="0"/>
        </w:rPr>
        <w:t>1.4其他要求</w:t>
      </w:r>
      <w:bookmarkEnd w:id="10"/>
    </w:p>
    <w:p>
      <w:pPr>
        <w:pStyle w:val="4"/>
        <w:keepNext w:val="0"/>
        <w:spacing w:before="0" w:after="0" w:line="360" w:lineRule="auto"/>
        <w:rPr>
          <w:rFonts w:ascii="仿宋_GB2312" w:hAnsi="仿宋_GB2312" w:eastAsia="仿宋_GB2312" w:cs="仿宋_GB2312"/>
          <w:b/>
          <w:bCs/>
          <w:sz w:val="28"/>
          <w:szCs w:val="28"/>
        </w:rPr>
      </w:pPr>
      <w:bookmarkStart w:id="11" w:name="_Toc256000009"/>
      <w:r>
        <w:rPr>
          <w:rFonts w:ascii="仿宋_GB2312" w:hAnsi="仿宋_GB2312" w:eastAsia="仿宋_GB2312" w:cs="仿宋_GB2312"/>
          <w:sz w:val="28"/>
          <w:szCs w:val="28"/>
        </w:rPr>
        <w:t>1.4.1采购标的需执行的相关标准规范</w:t>
      </w:r>
      <w:bookmarkEnd w:id="11"/>
    </w:p>
    <w:p>
      <w:pPr>
        <w:pStyle w:val="13"/>
        <w:spacing w:before="0" w:after="0" w:line="360" w:lineRule="auto"/>
        <w:ind w:firstLine="560"/>
        <w:rPr>
          <w:rFonts w:ascii="Times New Roman" w:hAnsi="Times New Roman" w:eastAsia="Times New Roman" w:cs="Times New Roman"/>
        </w:rPr>
      </w:pPr>
      <w:r>
        <w:rPr>
          <w:rFonts w:ascii="Times New Roman" w:hAnsi="Times New Roman" w:eastAsia="Times New Roman" w:cs="Times New Roman"/>
          <w:sz w:val="28"/>
          <w:szCs w:val="28"/>
        </w:rPr>
        <w:t>供应商需具备食品经营许可等合法资质，各种食材需来源可溯，随货提供同批次检验检疫合格证明，食材新鲜、无腐败变质、霉变生虫现象，严禁采购过期、不合格、来源不明及违禁食材。</w:t>
      </w:r>
    </w:p>
    <w:p>
      <w:pPr>
        <w:pStyle w:val="2"/>
        <w:keepNext w:val="0"/>
        <w:spacing w:before="0" w:after="0" w:line="360" w:lineRule="auto"/>
        <w:jc w:val="center"/>
        <w:rPr>
          <w:rFonts w:ascii="仿宋_GB2312" w:hAnsi="仿宋_GB2312" w:eastAsia="仿宋_GB2312" w:cs="仿宋_GB2312"/>
          <w:b/>
          <w:bCs/>
          <w:sz w:val="32"/>
          <w:szCs w:val="32"/>
        </w:rPr>
      </w:pPr>
      <w:bookmarkStart w:id="12" w:name="_Toc256000010"/>
      <w:r>
        <w:rPr>
          <w:rFonts w:ascii="仿宋_GB2312" w:hAnsi="仿宋_GB2312" w:eastAsia="仿宋_GB2312" w:cs="仿宋_GB2312"/>
          <w:kern w:val="36"/>
        </w:rPr>
        <w:t>2投标/响应要求</w:t>
      </w:r>
      <w:bookmarkEnd w:id="12"/>
    </w:p>
    <w:p>
      <w:pPr>
        <w:pStyle w:val="3"/>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i w:val="0"/>
          <w:iCs w:val="0"/>
        </w:rPr>
        <w:t>2.1对供应商的要求</w:t>
      </w:r>
      <w:bookmarkEnd w:id="13"/>
    </w:p>
    <w:p>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2.1.1必备资质</w:t>
      </w:r>
      <w:bookmarkEnd w:id="1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pStyle w:val="13"/>
        <w:spacing w:before="0" w:after="0" w:line="360" w:lineRule="auto"/>
        <w:ind w:firstLine="560"/>
        <w:rPr>
          <w:rFonts w:ascii="Times New Roman" w:hAnsi="Times New Roman" w:eastAsia="Times New Roman" w:cs="Times New Roman"/>
        </w:rPr>
      </w:pPr>
      <w:r>
        <w:rPr>
          <w:rFonts w:ascii="Times New Roman" w:hAnsi="Times New Roman" w:eastAsia="Times New Roman" w:cs="Times New Roman"/>
          <w:sz w:val="28"/>
          <w:szCs w:val="28"/>
        </w:rPr>
        <w:t>①投标人为经销商，须具有有效的《食品经营许可证》或《食品经营许可备案电子证书》。(提供相关证书复印件并加盖投标人电子章)②投标人为生产厂家，须具有有效的《食品生产许可证》和《食品经营许可证》。(提供相关证书复印件并加盖投标人电子章) 。</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 </w:t>
      </w:r>
    </w:p>
    <w:p>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2.1.2优选资质/优选指标</w:t>
      </w:r>
      <w:bookmarkEnd w:id="15"/>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有效案例为2023年5月1日以来（以合同签订日期为准）,供应商独立承担的同类项目案例。</w:t>
      </w:r>
    </w:p>
    <w:p>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2.1.3是否允许联合体</w:t>
      </w:r>
      <w:bookmarkEnd w:id="16"/>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2.1.4是否专门面向中小企业</w:t>
      </w:r>
      <w:bookmarkEnd w:id="17"/>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本项目不专门面向中小企业采购项目</w:t>
      </w:r>
    </w:p>
    <w:p>
      <w:pPr>
        <w:pStyle w:val="4"/>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sz w:val="28"/>
          <w:szCs w:val="28"/>
        </w:rPr>
        <w:t>2.1.5其他要求</w:t>
      </w:r>
      <w:bookmarkEnd w:id="18"/>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本项目不允许分包。</w:t>
      </w:r>
    </w:p>
    <w:p>
      <w:pPr>
        <w:pStyle w:val="3"/>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i w:val="0"/>
          <w:iCs w:val="0"/>
        </w:rPr>
        <w:t>2.2技术部分投标/响应内容</w:t>
      </w:r>
      <w:bookmarkEnd w:id="19"/>
    </w:p>
    <w:p>
      <w:pPr>
        <w:pStyle w:val="4"/>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2.2.1技术投标/响应总要求</w:t>
      </w:r>
      <w:bookmarkEnd w:id="20"/>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投标人须严格按照采购文件要求，对食堂食材采购项目进行全面、真实、完整的技术响应，所有响应内容均符合国家食品安全法律法规及现行有效标准规范，不得虚假响应、缺项漏项。</w:t>
      </w:r>
    </w:p>
    <w:p>
      <w:pPr>
        <w:pStyle w:val="4"/>
        <w:keepNext w:val="0"/>
        <w:spacing w:before="0" w:after="0" w:line="360" w:lineRule="auto"/>
        <w:rPr>
          <w:rFonts w:ascii="仿宋_GB2312" w:hAnsi="仿宋_GB2312" w:eastAsia="仿宋_GB2312" w:cs="仿宋_GB2312"/>
          <w:b/>
          <w:bCs/>
          <w:sz w:val="28"/>
          <w:szCs w:val="28"/>
        </w:rPr>
      </w:pPr>
      <w:bookmarkStart w:id="21" w:name="_Toc256000019"/>
      <w:r>
        <w:rPr>
          <w:rFonts w:ascii="仿宋_GB2312" w:hAnsi="仿宋_GB2312" w:eastAsia="仿宋_GB2312" w:cs="仿宋_GB2312"/>
          <w:sz w:val="28"/>
          <w:szCs w:val="28"/>
        </w:rPr>
        <w:t>2.2.2投标/响应方案要求</w:t>
      </w:r>
      <w:bookmarkEnd w:id="21"/>
    </w:p>
    <w:p>
      <w:pPr>
        <w:pStyle w:val="13"/>
        <w:spacing w:before="0" w:after="0" w:line="360" w:lineRule="auto"/>
        <w:ind w:firstLine="560"/>
        <w:rPr>
          <w:rFonts w:ascii="Times New Roman" w:hAnsi="Times New Roman" w:eastAsia="Times New Roman" w:cs="Times New Roman"/>
          <w:sz w:val="28"/>
          <w:szCs w:val="28"/>
        </w:rPr>
      </w:pPr>
      <w:r>
        <w:rPr>
          <w:rFonts w:ascii="Times New Roman" w:hAnsi="Times New Roman" w:eastAsia="Times New Roman" w:cs="Times New Roman"/>
          <w:sz w:val="28"/>
          <w:szCs w:val="28"/>
        </w:rPr>
        <w:t>以下相关方案，若作为评审因素，则投标人应在满足★必备指标项要求的前提下，根据项目特点和采购需求，制定更为完整、详细、可操作性强的方案。</w:t>
      </w:r>
    </w:p>
    <w:p>
      <w:pPr>
        <w:pStyle w:val="2"/>
        <w:keepNext w:val="0"/>
        <w:spacing w:before="0" w:after="0" w:line="360" w:lineRule="auto"/>
        <w:jc w:val="center"/>
        <w:rPr>
          <w:rFonts w:ascii="仿宋_GB2312" w:hAnsi="仿宋_GB2312" w:eastAsia="仿宋_GB2312" w:cs="仿宋_GB2312"/>
          <w:b/>
          <w:bCs/>
          <w:sz w:val="32"/>
          <w:szCs w:val="32"/>
        </w:rPr>
      </w:pPr>
      <w:bookmarkStart w:id="22" w:name="_Toc256000020"/>
      <w:r>
        <w:rPr>
          <w:rFonts w:ascii="仿宋_GB2312" w:hAnsi="仿宋_GB2312" w:eastAsia="仿宋_GB2312" w:cs="仿宋_GB2312"/>
          <w:kern w:val="36"/>
        </w:rPr>
        <w:t>3项目需求</w:t>
      </w:r>
      <w:bookmarkEnd w:id="22"/>
    </w:p>
    <w:p>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3.1总体要求</w:t>
      </w:r>
      <w:bookmarkEnd w:id="23"/>
    </w:p>
    <w:p>
      <w:pPr>
        <w:pStyle w:val="13"/>
        <w:spacing w:before="0" w:after="0" w:line="360" w:lineRule="auto"/>
        <w:ind w:firstLine="560"/>
        <w:rPr>
          <w:rFonts w:ascii="Times New Roman" w:hAnsi="Times New Roman" w:eastAsia="Times New Roman" w:cs="Times New Roman"/>
        </w:rPr>
      </w:pPr>
      <w:r>
        <w:rPr>
          <w:rFonts w:ascii="Times New Roman" w:hAnsi="Times New Roman" w:eastAsia="Times New Roman" w:cs="Times New Roman"/>
          <w:sz w:val="28"/>
          <w:szCs w:val="28"/>
        </w:rPr>
        <w:t>本项目为食堂日常食材供应服务，供应商须遵循安全第一、质量合格、价格合理、供应稳定、服务及时、溯源可查的总体要求。</w:t>
      </w:r>
    </w:p>
    <w:p>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3.2采购产品一览表</w:t>
      </w:r>
      <w:bookmarkEnd w:id="24"/>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畜、禽肉类（含生鲜及冷冻）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米面油类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饮品类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水产类（含生鲜及冷冻）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调料类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干货类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蛋类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r>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水果类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据实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r>
    </w:tbl>
    <w:p>
      <w:pPr>
        <w:pStyle w:val="3"/>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3.3采购产品详细清单及技术指标</w:t>
      </w:r>
      <w:bookmarkEnd w:id="25"/>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采购文件（技术部分）中有标注★号的，为必备要求，必须满足，如未作出响应，将导致响应无效；#为重要内容、△为一般内容。</w:t>
      </w:r>
    </w:p>
    <w:tbl>
      <w:tblPr>
        <w:tblStyle w:val="9"/>
        <w:tblW w:w="5000" w:type="pct"/>
        <w:tblInd w:w="30" w:type="dxa"/>
        <w:tblLayout w:type="autofit"/>
        <w:tblCellMar>
          <w:top w:w="15" w:type="dxa"/>
          <w:left w:w="15" w:type="dxa"/>
          <w:bottom w:w="15" w:type="dxa"/>
          <w:right w:w="15" w:type="dxa"/>
        </w:tblCellMar>
      </w:tblPr>
      <w:tblGrid>
        <w:gridCol w:w="648"/>
        <w:gridCol w:w="1136"/>
        <w:gridCol w:w="1007"/>
        <w:gridCol w:w="4221"/>
        <w:gridCol w:w="1009"/>
        <w:gridCol w:w="1049"/>
      </w:tblGrid>
      <w:tr>
        <w:tc>
          <w:tcPr>
            <w:tcW w:w="357"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62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555"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232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556"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578"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tc>
          <w:tcPr>
            <w:tcW w:w="35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W w:w="62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技术要求</w:t>
            </w:r>
          </w:p>
        </w:tc>
        <w:tc>
          <w:tcPr>
            <w:tcW w:w="55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食堂食材（包一）</w:t>
            </w:r>
          </w:p>
        </w:tc>
        <w:tc>
          <w:tcPr>
            <w:tcW w:w="232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一、品质要求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品类A：畜、禽肉类（含生鲜及冷冻）食材</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1.确保食材无毒、无害、无污染、无辐射，符合国家、行业及地方的食品卫生及安 全标准，农产品符合国家、行业及地方的无公害农产品标准，安全、卫生和动植物检验 、检疫项目按照国家有关规定执行。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2.如带包装的食材，需外包装完整，包装材料清洁、卫生，符合国家食品卫生标准的规定；在有效质保期内，供货时的剩余质保期不得少于标注有效期的三分之二。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3.所有冷冻食品肉体冻实而坚硬，无化冻现象；清晰列出产品品牌、规格、类型 、 包装方式、包装净重、含冰量等相关参数；冷冻禽肉类食品解冻后净重量不少于92 % ，冷冻畜肉类食品解冻后净重量不少于95% ，解冻时间为4小时以内（室温20℃) 。 （2）具体要求（包括但不限于以下内容）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生鲜畜（猪、牛、羊等）肉类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1.来源：经检疫和肉品品质检验合格的24小时内屠宰的新鲜肉（肉身必须盖有卫生检疫章），具有由地方政府定点屠宰厂（场）加盖验讫印章并出具《畜产品检验证明 》和《动物检疫合格证明》，具有可追索性。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2.外观和质量等级符合国家食品部门的有关标准，品质新鲜，无霉烂变质。</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3.鲜肉：颜色均匀，肌肉呈淡红色或鲜红色（牛肉），脂肪洁白或淡黄色（牛、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羊 肉）；外表微干或微湿，触摸不粘手，切面有湿润而无黏性，有各种畜肉的特有光泽；肉质紧密，纤维清晰，鲜肉有坚韧性，指压后凹陷立即恢复；具有鲜肉的正常气味 , 无异味；无泥污、血污，肉边整齐，无碎肉、碎骨；按标准部位分割，精肉无多余脂肪。</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4.五花肉：肥瘦比例为3:7（三线肉）。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5.猪蹄：去蹄壳，不带蹄筋，无毛、趾间黑垢，无松香等异味。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6.鲜骨：骨管内充满骨髓，质硬，色黄，骨的折断处有光泽，骨髓与骨腔边缘紧密结合。</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冷冻畜（猪、牛、羊等）肉类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1.冻猪肉：肌肉有光泽、色红均匀、脂肪洁白、无霉点、肉质紧密、有坚实感、外表及切面微湿润、不粘手、无异味。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2.冻牛肉：肌肉红色均匀、有光泽、脂肪白色或微黄、肌肉外表微干或有风干膜 、或外表湿润、但不粘手、肌肉结构紧密、有坚实感、肌纤维韧性强。</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3.冻羊肉：肌肉色鲜艳、有光泽、脂肪白色、外表微干或有风干膜、或外表湿润 、 但不粘手、肌肉结构紧密、有坚实感、肌纤维韧性强。</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生鲜禽及冷冻（鸡、鸭、鹅等）肉类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1.外观和质量等级符合国家食品部门的有关标准，品质新鲜，无霉烂变质。</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2.鲜禽：有头颈，有腿翅，无内脏；喙有光泽、干燥、无黏液；眼球饱满，角膜有 光泽； 口腔粘膜呈淡玫瑰色，有光泽、洁净、无异味； 口腔及宰刀口无血污、杂质 , 无紫斑瘀血；腹内无过多脂肪，腹下刀口整齐、不过长；皮肤有光泽，微干或微湿，紧缩 、不粘手；毛孔隆起，无长毛及毛、毛根；肌肉有光泽，呈鲜禽肉正常颜色，稍带微红 ；脂肪呈淡黄色或黄色；肌肉结实有弹性，指压后凹陷立即恢复，有光泽，颈 、腿部肌 肉呈玫瑰红色；有鲜禽肉正常气味，无异味。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3.冷冻禽肉：眼球饱满或平坦、皮肤有光泽、因品种不同而呈淡黄、淡红或灰白色 等、肌肉切面有光泽、外表微湿润、不粘手、指压后凹陷恢复、且不能完全恢复。解冻 后与鲜禽特征相同。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腊(肉)肠类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1.有商标、牌号、产地、卫生检验合格证，国家SC认证，表面干爽，无霉变，无异味，脂肪透明或呈乳白色。</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品类B：米面油类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确保食材无毒、无害、无污染、无辐射，符合国家、行业及地方的食品卫生及安全 标准，农产品符合国家、行业及地方的无公害农产品标准，安全、卫生和动植物检验、检疫项目按照国家有关规定执行。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（2）具体要求（包括但不限于以下内容）米类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1.有“SC ”标志，标明加工厂名称、品名、生产日期、保持期或保存期，供货时的剩 余保质期不少于三分之二，质量等级、产品标准号、产品合格证，质量符合大米国</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家标准(GB/T1354-2018)与国家粮食卫生标准 (GB2715-2016)及相关国家最新标准 ；具 有固有色泽和香味，无污染、无虫害，色泽、气味、 口味正常，无异味或霉味 (霉变) ，无虫蛀结块挂丝或杂质异物等，符合国家粮食卫生标准；大米包装规格:50KG/包 、30KG/包、15KG/包。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面粉类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1.相关标准符合GB/T1355 、GB/T8607标准，原料要求：谷物加工品的原料应符 合国家相关标准，不得使用变质、霉变、发芽、有毒有害物质等不符合卫生要求的原料。生产要求：谷物加工品的生产工艺应符合国家相关标准，生产车间应保持清洁卫生，加工过程中应采取必要的措施防止交叉污染检验要求。谷物加工品的生产企业必须对产品进行质量检验，检验项目包括外观、卫生指标、营养成分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食用油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1.所提供产品质量必须要符合行业标准要求，不得有掺假、变质变味、过期等现象 出现，严禁伪劣、假冒、无证不合格物品进入仓库。外包装完好，有SC标志，标明品名、厂名、重量、生产日期、保质期或保存期、执行标准，剩余保质期不少于三分之二 , 具有产品合格证。具有正常植物油的色泽、透明度气味和滋味，不得有沉淀污物。具有固有的气味和滋味，无焦臭、酸败及其他异味。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淀粉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1.符合GB31637-2025国家标准。色泽白色或类白色，无疑色。气味：具有产品应有的气味。水分：各类淀粉符合标准要求的理化指标。污染物限量：符合GB2762的规定。</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副食品及烘焙材料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1.标签要求：谷物加工品的标签应标明名称、原材料、生产日期、保质期、储存方 法等信息。包装要求：符合国家相关标准，保证产品的安全和卫生。</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品类C：水产类（含生鲜及冷冻）食材</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1.确保食材无毒、无害、无污染、无辐射，符合国家、行业及地方的食品卫生及安 全标准，农产品符合国家、行业及地方的无公害农产品标准，安全、卫生和动植物检验 、检疫项目按照国家有关规定执行。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2.所有冷冻食品肉体冻实而坚硬，无化冻现象；清晰列出产品品牌、规格、类型 、 包装方式、包装净重、含冰量等相关参数；冷冻水产类食品解冻后净重量不少于85 % ，解冻时间为4小时以内（室温20℃) 。</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（2）具体要求，包括但不限于以下内容：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1.活鱼类：在水中游动自如，反应敏捷；体色青亮，手摸有黏滑感；鳞片完整无损 , 无皮下出血现象及红色鱼鳞；鱼眼睛清亮，角膜透明，皮肤天然色泽明显；无伤残 、 无畸形、无病害。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2.鲜鱼类：鱼鳃盖紧闭，用手抠时感觉很紧，鳃的色泽鲜艳，鳃上无黏液，呈透明 状，无异味；鱼眼澄清透明，向外凸出，黑白分明；鱼嘴紧闭， 口腔清洁无污物；表皮 有一层清洁透明的黏液，鳞片完整并紧附在鱼体上，不易脱落，腹内无胀气，腹色正常 , 质地坚硬，肛门紧缩，呈圆坑状；鱼体坚硬肉实，手感富有弹性，挺而不软，弯度小,用手压之有凹陷，抬手后立即复原，肉的横断面紧密，肋骨与背骨处的鱼肉组织坚实 , 不离刺；内脏鲜红，肠鳃坚韧有弹性，胆囊完整，腹腔清洁。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3.冻鱼虾类：体表色泽鲜亮，清洁无污物，具有海水鱼虾或淡水鱼虾固有气味；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鳍平直紧贴鱼体，鳞片上覆有冻结的黏液层；鳞片完整、不易脱落；眼球饱满，黑白分明 ,角膜透明；鳃鲜红、清晰，腹部坚实、无胀气，肛孔白色凹陷；冻得坚实，以硬物敲 击能发出清晰的声音，体温为6℃ ~8℃；解冻后与鲜品特征相同，用刀切开肉质坚实 、有弹性，肉不离刺，背骨处无红线，胆囊完整无破裂。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4.虾类不能为死亡后冷冻品。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品类D：调料类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1.保证正规的进货渠道，所供标的物必须卫生、清洁、无污染、无假冒伪劣、无过 期变质及“三无”商品，符合《食品安全法》等法规要求及品种相应的国标(行业)标准 。糖、味精、酱油、醋、豆制品、生粉等必须具有“QS ”生产许可证或“SC ”食品生产许可证。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品类E：干货类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1.确保食材无毒、无害、无污染、无辐射，符合国家、行业及地方的食品卫生及安 全标准，农产品符合国家、行业及地方的无公害农产品标准，安全、卫生和动植物检验 、检疫项目按照国家有关规定执行。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（2）具体要求（包括但不限于以下内容）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肉皮：作为干肉皮，要求无论什么部位，体表洁净无毛，白亮无残余肥膘，无虫 蛀，干爽，敲击时响声清脆。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2.玉兰片：色泽黄白、洁净、肉厚、纤维少、节较密、体长不超过10-17CM。</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3.黄花菜：干燥、有清香味，菜色黄亮，身条长而粗壮，条杆粗细均匀。</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4.黑木耳：条形大而完整，耳瓣舒展少卷曲，内厚黑，富于光泽，体干不霉，无杂质。</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5.银耳：朵大、色洁白、有光泽，无杂质，根小,干度足，完整度高。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6.香茹：分为花菇、厚菇、薄茹和姑丁四类。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7.花菇：朵小柄短，呈半球状，菇伞顶面有似菊花似的白色裂纹，肉厚、菌盖色泽 淡黑，菇底褶，呈淡黄色，身干、质嫩、有芳香气味。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8.厚菇：形状如伞，顶面无花纹，呈黑色并略有光泽，质嫩、肉厚、朵稍大。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9.薄菇：形状扁平、开伞、朵大、肉薄、菌盖表面浅褐色，菌褶白色，菌柄稍高 , 浅咖啡色，基部稍带红色或红褐色。</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10.菇丁：未充分发育的香菇,个小,直径在2CM以下。</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11.腐竹：腐竹又名豆腐皮和油皮，色泽黄亮、干燥筋韧、耐贮、无碎块。</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12.粉丝：粉条细长、白净、晶莹透明、丝条均匀、整齐、干燥，不易折断，无斑点、黑迹，无霉变，有粉丝特有的光泽。</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13.蹄筋：蹄筋体长而圆、粗状、光滑，应呈白色、无杂质、干、硬度高。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14.干贝：粒大完整、黄亮干燥、肉质结饱满，肉丝清晰、粗且有特殊香气。</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15.鱿鱼：体干、体形完整、光亮洁净、淡粉红色、片大头小、肉厚。</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16.紫菜：卷筒形柔嫩微脆、叶薄、色紫清香鲜美。</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17.鱼肚：体大整齐、肚厚、身干、光洁明亮、无虫蛀。</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二、食材仓储要求1.食材配送前的仓储由中标人负责。</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2.储存条件须满足食品卫生及安全的相关法定要求，达到国家、行业及地方的食品卫生及安全标准。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3.生鲜食材的仓储区，不同品种的食材分区域储存，鲜肉类仓储温度0℃ ~4℃ ,冻肉冻品类仓储温度在-18℃以下。</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三、食材配送要求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（一）采购计划</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1.采购人在每周五17:00前，将下周的采购计划以《食材采购计划单》的形式书面通知中标人。采购人的计划单需列明的食材品名、品牌、规格、质量、数量及包装等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2.若采购计划存在不清晰、不准确、不及时或有疏漏等情况，中标人有义务及时提醒采购人修正计划单。</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3.采购人有权视实际情况，要求中标人对配送产品进行粗加工，如食物的去皮、研磨等。中标人按要求进行粗加工的，采购人不需支付加工费。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中标人在非不可抗力情况下不得拒绝采购人提出的采购计划。合同期限内，中标人无正当理由（包括但不限于核定价格后以价格过低等理由）拒绝采购人的采购计划累计3次的，采购人有权提出解除本合同。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（二）组织采购</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中标人根据计划单所列明的食材品名、品牌、规格、质量、数量及包装等要求组织供应配送，不得擅自更改送货内容，否则采购人有权拒收。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2.若因市场流通问题确实需要变更的，中标人须事先征得采购人书面同意后方可执行。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所有食材的采购须来源清晰，按国家食品药品监督管理局制定的《餐饮服务食品采购索证索票管理规定》执行，做到索证无误，并把索证记录表和有关证明提供给采购人。（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.供应链要求：鲜肉类须源于正规肉联厂，家禽类须源于受地方政府相关部门监管的家禽供应场。畜禽冻肉、水产类含冻品、米面油类、调料类、饮品类的生产厂家必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须具有相关《食品生产许可证》。（投标时出具响应的承诺，中标后提供）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（三）交货时间、地点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中标人须按照采购人的每周计划，于每天在规定的时间内将当天所应供食材送至采购人指定地点（单位食堂）。每天首批食材须在早上5:30前送达，若需调整时间，采购人将另行通知。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2.对采购人临时的供货要求，需随订随送，2小时内送达相应货物。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中标人在非不可抗力情况下逾期配送的，视为违约，采购人有权拒收。出现2次逾期配送的，采购人有权暂停该中标人的配送任务安排；出现3次逾期配送的，采购人有权提出解除合同，并由该中标人承担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（四）配送车辆及人员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 中标人委派的食材配送车辆须符合国家的有关规定，具备齐全的法定证照，且为食品运送专用车辆。采用封闭的、有低温保鲜设备并符合国家卫生、动物防疫条件运输车厢的内仓，包括地面、墙面和顶盖，应使用抗腐蚀、防潮，易清洁消毒的材料；车厢内无不良异味；运输途中严防日晒、雨淋，通风散热适宜。（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2.配送车辆须保持清洁卫生，并做好消毒措施，每天做好车辆运输配送、清洁消毒记录，确保食材在配送过程中不受污染。</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 中标人委派的配送人员须具有有效的身份及健康证明文件，并事前向采购人备案 ；配送过程须穿着便于辨认的工作服，佩戴工作证，并配备相应的劳动和卫生等防护用品。（投标时出具响应的承诺，中标后提供）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 中标人须保证委派的配送人员身体健康状况良好，并无条件接受采购人提出的各项健康管理措施。（投标时出具响应的承诺，中标后提供）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 . 中标人须在获取中标通知书后5个工作日内，向采购人作食材配送车辆及人员的登记备案；若服务期内需要变更的，须在事先征得采购人同意的情况下作出变更登记 。（投标时出具响应的承诺，中标后提供）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6.每次配送食材，中标人使用的车辆及人员须为已登记备案的车辆及人员，若中标人未经采购人同意擅自使用备案清单之外的人员或车辆送货的，视为违规转包或分包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7. 中标人须对配送人员严格管理，对他们的行为负全责。配送人员在采购人单位内的一切行为须严格遵守法律法规、安全规范及采购人的各项规章制度等，若配送人员出 现损害采购人形象和利益、意外伤亡事故或触犯国家法律等情况的，由中标人承担一切经济责任及法律责任。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 中标人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由中标人承担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（五）应急方案</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中标人如遇不可抗力情况而不能按食材配送要求执行的，须立即通知采购人, 相应的应急处理措施须事先征得采购人同意。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2.制定标准化预案。针对各类场景编写应急流程手册，明确各岗位职责（如客服负责通知客户、采购负责调配食材），并定期组织演练。</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（六）档案管理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1.记录入库信息，包括到货时间、数量、验收人员、存储温湿度（针对冷链食材 ) 。</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2.归档出库信息，包括配送时间、配送人员、车辆编号、 目的地客户信息。</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3.留存异常记录，如食材损坏、变质、配送延迟的处理方案与客户反馈。</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四、食材验收要求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（一）交货质量检验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1.证照检验（复印件，原件备查）：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（1）首次配送食材时须提供生产企业的资质证明包括：《企业法人营业执照》、 《动物防疫条件合格证》、《食品经营许可证》；每次配送肉类时须提供当天该批次的《动物产品检疫合格证》和《畜产品检验证明》。</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每次配送肉类时提供该批次产品的出厂（库）检验合格证明包括：《动物产品检疫合格证》、《产品合格证》、《卫生检疫报告》。（3）首次配送食材时须提供生产企业的资质证明包括：《企业法人营业执照》、 《食品生产许可证》。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2.实物检验。中标人将食材送至采购人指定地点后，由采购人指定人员对食材质量进行实物检验，初步检验合格后由双方签字确认。</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3.若检验过程中发现食材质量问题，中标人代表须现场进行问题确认。若食材不符 合本项目约定的质量要求，采购人将拒绝接收。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4.采购人将随机抽取食材样本封存并作相关标识记录，中标人配送人员须予以配合确认。样本封存时间不少于48小时，作为中标人所配送的食材的品质依据之一。</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5.凡在交货检验过程中出现食材质量不符而需要退（换）货的食材，中标人须在1小时内更换到位。在更换到位之前，均视作中标人未交货。若不能在规定时间内更换到位，视为中标人逾期配送。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交货质量检验仅为简单的初步检验，不代表中标人所供食材的最终质量。在质量保证期满之前，若因中标人提供的食材造成食品安全事故的，采购人有权提出解除合同，中标人须承担由此引起的一切经济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（二）交货数量检验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中标人每次配送食材须随货附上一式四联的送货单作为凭证，数量由双方当面清点并签字确认（质量以采购人的实际验货为准）。送货单须详细注明食材品名、品牌 、规格、单价、数量。送货单涂改或标记不清的，采购人将拒绝签收。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2.在采购人签收之前，货物的所有权和风险均属中标人，货物发生遗失、损坏由中标人负责。</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3.凡在交货检验过程中出现食材数量不足而需要补货的食材，中标人须在1小时内补充到位。在补充到位之前，均视作中标人未交货。若不能在规定时间内补充到位，视为中标人逾期配送。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（三）退（换）货及质量处罚</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1.食材出现以下情况的，中标人须无条件退（换）货：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（1）不符合本项目约定的质量要求或采购人的计划要求的。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（2）带包装的食材，其包装不整齐、已拆封的。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（3）出现损坏（包括表面损坏），或出现水渍、串味、受潮等导致货物性质改变的。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（4）交货质量检验合格，但在保质期内出现质量问题的。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 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 ( 赔偿金在货款中扣除），并有权提出解除合同，由中标人承担因此产生的一切经济责任及法律责任。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（1）《中华人民共和国食品安全法》禁止生产经营的。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（2）《中华人民共和国农产品质量安全法》禁止销售的。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（3）掺假、掺杂、伪造的。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（4）其他不符合食品安全、卫生要求的。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（四）对不符合质量要求的食材，由采购人提出退（换）货。若中标人对因质量问 题被采购人提出退（换）货有争议的，可留样备检，并委托采购人所在地具备资质的第三方机构检测。食材符合质量标准的，检测费用由采购人承担；不符合质量标准的，检测费用由中标人承担。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付款方式：按月据实付款。</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五、监管要求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1.本项目合同签订前，中标人须向采购人提供《食品质量安全承诺书》，并为本项目每年投保食品安全责任险。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 中标人提供的食材及配送服务须服从采购人及其他职能部门的监督、管理。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中标人应有具体的管理规章制度、针对本项目应制定本项目完善的质量及安全控 制方案、采购方案、配送方案及应急管理方案，明确实施团队的组织管理和时间、工作 、人员及设备的具体安排，采取有效的控制措施，确保过程合理、规范、安全，保证食 材和配送服务的质量。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4.采购人不定期抽查中标人的食材质量及配送服务情况，若不符合投标承诺或招标 要求的，采购人将要求该中标人在限期内整改。逾期未整改或整改仍不符合要求的 , 采购人将对此不良行为记录在案，暂停其供货资格1次。服务期内累计3次不良行为记录的 , 采购人有权取消其供货资格，有权提出解除合同（由中标人承担因此产生的一切经济 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5.当食品药品监督管理部门等对采购人的食堂或中标人配送的食材进行检查时，中标人须无条件全力配合。</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 中标人须及时向采购人提供自己及货物来源最新的、符合食品安全监督部门要求的全部有效证明材料。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7. 中标人将本项目转包或分包给他人，或中标人的资质情况在合同期间发生变化而 不再符合要求的，采购人均有权提出解除合同，由该中标人承担因此产生的一切经济及法律责任。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 中标人须安排1名专人作为售后服务人员与采购人单位食堂管理员对接，及时处理解决如加订、提前、延后、质量不符合、质量和数量不符合要求等售后服务问题，如无意外情况，一般不允许更换。中标人须提供对供应食材的供货承诺及自罚。（投标时出具响应承诺）</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9.最终投标报价是履行合同的最终报价，报价形式为报价下浮。应包括本招标项目所包含的货物、包装、运输、装卸、税金等一切税金和费用。</w:t>
            </w:r>
          </w:p>
        </w:tc>
        <w:tc>
          <w:tcPr>
            <w:tcW w:w="55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W w:w="57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tblPrEx>
          <w:tblCellMar>
            <w:top w:w="15" w:type="dxa"/>
            <w:left w:w="15" w:type="dxa"/>
            <w:bottom w:w="15" w:type="dxa"/>
            <w:right w:w="15" w:type="dxa"/>
          </w:tblCellMar>
        </w:tblPrEx>
        <w:tc>
          <w:tcPr>
            <w:tcW w:w="357"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W w:w="62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技术要求</w:t>
            </w:r>
          </w:p>
        </w:tc>
        <w:tc>
          <w:tcPr>
            <w:tcW w:w="55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食堂食材（包二）</w:t>
            </w:r>
          </w:p>
        </w:tc>
        <w:tc>
          <w:tcPr>
            <w:tcW w:w="232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一、品质要求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品类A：饮品类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确保食材无毒、无害、无污染、无辐射，符合国家、行业及地方的食品卫生及安全 标准，农产品符合国家、行业及地方的无公害农产品标准，安全、卫生和动植物检验、检疫项目按照国家有关规定执行。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（2）具体要求（包括但不限于以下内容）自制饮品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原材料要求:选择新鲜、干净、无污染的食品原材料，保证原材料的质量和安全性;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 卫生要求:在制作自制饮品前，需要进行充分的手部卫生和器具消毒，确保制作过 程的卫生安全；</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添加剂要求: 自制饮品的添加剂应符合国家相关法规和标准，不能添加违禁或超标的物质；</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贮存要求: 自制饮品需要在干燥、阴凉、通风的环境中存放，避免阳光直射和高温。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奶制品的品质检验标准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巴氏杀菌乳：中标人提供的巴氏杀菌乳应符合GB19645-2010国家标准,要求当天鲜奶并提供全程冷链运输配送。色泽：呈乳白色或微黄色； 滋味、气味：具有乳固 有的香味，无异味；组织状态：呈均匀一致液体，污凝块、无沉淀、无正常视力可见 异物。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 发酵乳：中标人提供的发酵乳应符合GB19302-2025国家标准。 色泽：色泽均 匀一致，呈乳白色或微黄色（风味发酵乳：具有添加成分相符的色泽）；滋味、气味 ：具有发酵乳特有的滋味、气味（风味发酵乳：具有添加成分相符的滋味和气味）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；组织状态：组织细腻、均匀，允许有少量乳清析出；风味发酵乳具有添加成分特有的组织状态。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其他奶制品必须符合卫生质量要求及国家相关标准。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品类B：蔬菜类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中标人提供的必须是新鲜蔬菜，质量应符合国家食品卫生管理相关标准及法规：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农药残留不得超过《食品中农药最大残留限量》（GB2763-2021）国家标准;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 不得提供腐烂变质、黄叶、烂叶及带泥巴的蔬菜；</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蔬菜外表不得人为喷洒水分和有过多的虫孔；</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不得提供过长的菜头和菜根。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（2）具体要求（包括但不限于以下内容）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1.叶菜类：大白菜、小白菜、菠菜、莽菜、空心菜、筒蒿、菜、芹菜等绿叶菜类 , 属同一品种规格。肉质鲜嫩形态好，色泽正常，茎基部削平，无枯黄叶、病叶、泥土、 明显机械伤和病虫害伤，无烧心焦边、腐烂等现象，无抽苔 (菜心除外) ，无畸形 、异味 , 结球叶菜要结球适度，花椰菜应新鲜洁白，不带叶麸，无畸形花；</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2.茄果类：番茄、茄子、甜椒、辣椒等。属同一品种规格，果实整洁成熟度适中 , 番茄花蒂不明显，无裂果及空洞现象，茄果不能有裂蒂及果皮变硬现象，无腐烂、畸形 、异味，无明显机械伤；</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3.果类：黄瓜、冬瓜、丝瓜、苦瓜、南瓜、毛节瓜等。属同一品种规格。形状、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色泽一致，瓜条均匀，无疤点，无断裂，无腐烂、无畸形、无异味、无明显机械伤，不带泥土；</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4.根菜类：萝 卜、胡萝 卜等。属同一品种规格，皮细光滑，大小均匀肉质脆嫩致密 新鲜，无腐烂、畸形、裂痕、糠心、异味，不带泥沙，不带茎叶和根；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5.薯芋类：马铃薯、番薯、芋、姜等。属同一品种规格，色泽一致，不带泥沙，不 带根、茎叶，不干瘪，无腐烂、畸形、异味、明显机械伤、病虫害斑，马铃薯无发芽，皮未变绿；</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6.葱蒜类：葱、蒜、韭菜、洋葱等。属同一品种规格，允许葱、青蒜类保留干净须 根，葱、蒜、韭菜不带老叶，蒜头、洋葱去根去枯叶，可食部分新鲜幼嫩，无腐烂 、畸 形、异味；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7.豆类：扁豆、豌豆、毛豆等。属同一品种规格，形态完整，成熟度适中，无腐烂 、畸形、异味，豆荚类新鲜、幼嫩、均匀，豆仁类籽粒饱满，较均匀，无发芽，不带泥 土杂质；</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8.食用菌类：蘑菇、草菇、香菇、木耳等。属同一品种规格，蘑菇、草菇菌盖圆整 略展开，柄粗壮，菌膜紧，菇柄切削平整，不浸泡水(蘑菇允许浸盐水保鲜)，新鲜，无杂质，无畸形菇，无腐烂、异味；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9.芽苗类：绿豆芽、黄豆芽、香椿苗等。豆芽类禁止使用添加剂催芽浸泡，芽苗幼 嫩，不带豆壳杂质，新鲜，不浸水，无腐烂异味。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品类C：水果类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1.当季各种水果，无虫、无杂质，新鲜、无破损、大小均匀、色泽本样、不得过熟 或欠熟。中标人提供的必须是新鲜水果，质量应符合国家食品卫生管理相关标准及法规。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（2）具体要求，包括但不限于以下内容：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1.农药残留不得超过《食品中农药最大残留限量》（GB2763-2021）国家标准 ;</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2.果形端正，大小均匀，无畸形果，带果柄，果实无萎焉；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3.果面新鲜洁净，无刺划伤，无压痕，无病虫害，无病斑，无腐烂。4. 口感正常，具有水果特有的风味。</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品类D：蛋类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（1）总体要求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确保食材无毒、无害、无污染、无辐射，符合国家、行业及地方的食品卫生及安全标准，农产品符合国家、行业及地方的无公害农产品标准，安全、卫生和动植物检验、检疫项目按照国家有关规定执行。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（2）具体要求（包括但不限于以下内容）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禽蛋的品质要求： 中标人提供的禽蛋应符合GB2749国家标准。 色泽：具有禽蛋固有的色泽； 组织形态：蛋壳清洁、无破裂，打开后蛋黄凸起、完整、有韧性，蛋白澄清透明、稀稠分明;气味：具有货物固有的气味，无异味； 杂质：无杂质，内容物不得有血块及其他组织异物。 包装要求：符合国家相关标准，保证产品的安全和卫生</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二、食材仓储要求1.食材配送前的仓储由中标人负责。</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2.储存条件须满足食品卫生及安全的相关法定要求，达到国家、行业及地方的食品卫生及安全标准。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3.生鲜食材的仓储区，不同品种的食材分区域储存，鲜肉类仓储温度0℃ ~4℃ ,冻肉冻品类仓储温度在-18℃以下。</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三、食材配送要求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（一）采购计划</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1.采购人在每周五17:00前，将下周的采购计划以《食材采购计划单》的形式书面通知中标人。采购人的计划单需列明的食材品名、品牌、规格、质量、数量及包装等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2.若采购计划存在不清晰、不准确、不及时或有疏漏等情况，中标人有义务及时提醒采购人修正计划单。</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3.采购人有权视实际情况，要求中标人对配送产品进行粗加工，如食物的去皮、研磨等。中标人按要求进行粗加工的，采购人不需支付加工费。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中标人在非不可抗力情况下不得拒绝采购人提出的采购计划。合同期限内，中标人无正当理由（包括但不限于核定价格后以价格过低等理由）拒绝采购人的采购计划累计3次的，采购人有权提出解除本合同。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（二）组织采购</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中标人根据计划单所列明的食材品名、品牌、规格、质量、数量及包装等要求组织供应配送，不得擅自更改送货内容，否则采购人有权拒收。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2.若因市场流通问题确实需要变更的，中标人须事先征得采购人书面同意后方可执行。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所有食材的采购须来源清晰，按国家食品药品监督管理局制定的《餐饮服务食品采购索证索票管理规定》执行，做到索证无误，并把索证记录表和有关证明提供给采购人。（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.供应链要求：鲜肉类须源于正规肉联厂，家禽类须源于受地方政府相关部门监管的家禽供应场。畜禽冻肉、水产类含冻品、米面油类、调料类、饮品类的生产厂家必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须具有相关《食品生产许可证》。（投标时出具响应的承诺，中标后提供）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（三）交货时间、地点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中标人须按照采购人的每周计划，于每天在规定的时间内将当天所应供食材送至采购人指定地点（单位食堂）。每天首批食材须在早上5:30前送达，若需调整时间，采购人将另行通知。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2.对采购人临时的供货要求，需随订随送，2小时内送达相应货物。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中标人在非不可抗力情况下逾期配送的，视为违约，采购人有权拒收。出现2次逾期配送的，采购人有权暂停该中标人的配送任务安排；出现3次逾期配送的，采购人有权提出解除合同，并由该中标人承担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（四）配送车辆及人员</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 中标人委派的食材配送车辆须符合国家的有关规定，具备齐全的法定证照，且为食品运送专用车辆。采用封闭的、有低温保鲜设备并符合国家卫生、动物防疫条件运输车厢的内仓，包括地面、墙面和顶盖，应使用抗腐蚀、防潮，易清洁消毒的材料；车厢内无不良异味；运输途中严防日晒、雨淋，通风散热适宜。（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2.配送车辆须保持清洁卫生，并做好消毒措施，每天做好车辆运输配送、清洁消毒记录，确保食材在配送过程中不受污染。</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 中标人委派的配送人员须具有有效的身份及健康证明文件，并事前向采购人备案 ；配送过程须穿着便于辨认的工作服，佩戴工作证，并配备相应的劳动和卫生等防护用品。（投标时出具响应的承诺，中标后提供）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 . 中标人须保证委派的配送人员身体健康状况良好，并无条件接受采购人提出的各项健康管理措施。（投标时出具响应的承诺，中标后提供）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 . 中标人须在获取中标通知书后5个工作日内，向采购人作食材配送车辆及人员的登记备案；若服务期内需要变更的，须在事先征得采购人同意的情况下作出变更登记 。（投标时出具响应的承诺，中标后提供）</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6.每次配送食材，中标人使用的车辆及人员须为已登记备案的车辆及人员，若中标人未经采购人同意擅自使用备案清单之外的人员或车辆送货的，视为违规转包或分包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7. 中标人须对配送人员严格管理，对他们的行为负全责。配送人员在采购人单位内的一切行为须严格遵守法律法规、安全规范及采购人的各项规章制度等，若配送人员出 现损害采购人形象和利益、意外伤亡事故或触犯国家法律等情况的，由中标人承担一切经济责任及法律责任。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 中标人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由中标人承担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（五）应急方案</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中标人如遇不可抗力情况而不能按食材配送要求执行的，须立即通知采购人, 相应的应急处理措施须事先征得采购人同意。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2.制定标准化预案。针对各类场景编写应急流程手册，明确各岗位职责（如客服负责通知客户、采购负责调配食材），并定期组织演练。</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（六）档案管理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1.记录入库信息，包括到货时间、数量、验收人员、存储温湿度（针对冷链食材 ) 。</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2.归档出库信息，包括配送时间、配送人员、车辆编号、 目的地客户信息。</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3.留存异常记录，如食材损坏、变质、配送延迟的处理方案与客户反馈。</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四、食材验收要求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（一）交货质量检验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1.证照检验（复印件，原件备查）：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（1）首次配送食材时须提供生产企业的资质证明包括：《企业法人营业执照》、 《动物防疫条件合格证》、《食品经营许可证》；每次配送肉类时须提供当天该批次的《动物产品检疫合格证》和《畜产品检验证明》。</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每次配送肉类时提供该批次产品的出厂（库）检验合格证明包括：《动物产品检疫合格证》、《产品合格证》、《卫生检疫报告》。（3）首次配送食材时须提供生产企业的资质证明包括：《企业法人营业执照》、 《食品生产许可证》。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2.实物检验。中标人将食材送至采购人指定地点后，由采购人指定人员对食材质量进行实物检验，初步检验合格后由双方签字确认。</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3.若检验过程中发现食材质量问题，中标人代表须现场进行问题确认。若食材不符 合本项目约定的质量要求，采购人将拒绝接收。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4.采购人将随机抽取食材样本封存并作相关标识记录，中标人配送人员须予以配合确认。样本封存时间不少于48小时，作为中标人所配送的食材的品质依据之一。</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5.凡在交货检验过程中出现食材质量不符而需要退（换）货的食材，中标人须在1小时内更换到位。在更换到位之前，均视作中标人未交货。若不能在规定时间内更换到位，视为中标人逾期配送。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交货质量检验仅为简单的初步检验，不代表中标人所供食材的最终质量。在质量保证期满之前，若因中标人提供的食材造成食品安全事故的，采购人有权提出解除合同，中标人须承担由此引起的一切经济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（二）交货数量检验</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 中标人每次配送食材须随货附上一式四联的送货单作为凭证，数量由双方当面清点并签字确认（质量以采购人的实际验货为准）。送货单须详细注明食材品名、品牌 、规格、单价、数量。送货单涂改或标记不清的，采购人将拒绝签收。</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2.在采购人签收之前，货物的所有权和风险均属中标人，货物发生遗失、损坏由中标人负责。</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3.凡在交货检验过程中出现食材数量不足而需要补货的食材，中标人须在1小时内补充到位。在补充到位之前，均视作中标人未交货。若不能在规定时间内补充到位，视为中标人逾期配送。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（三）退（换）货及质量处罚</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1.食材出现以下情况的，中标人须无条件退（换）货：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（1）不符合本项目约定的质量要求或采购人的计划要求的。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（2）带包装的食材，其包装不整齐、已拆封的。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（3）出现损坏（包括表面损坏），或出现水渍、串味、受潮等导致货物性质改变的。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（4）交货质量检验合格，但在保质期内出现质量问题的。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 中标人应严格遵守《中华人民共和国食品安全法》、《中华人民共和国农产品质量安全法》和《中华人民共和国动物检疫法》等相关规定，不得供应以下食材。一经发现，采购人将对该批食材全部退货，中标人须向采购人作出该批食材货款2倍的赔偿 ( 赔偿金在货款中扣除），并有权提出解除合同，由中标人承担因此产生的一切经济责任及法律责任。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（1）《中华人民共和国食品安全法》禁止生产经营的。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（2）《中华人民共和国农产品质量安全法》禁止销售的。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（3）掺假、掺杂、伪造的。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（4）其他不符合食品安全、卫生要求的。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（四）对不符合质量要求的食材，由采购人提出退（换）货。若中标人对因质量问 题被采购人提出退（换）货有争议的，可留样备检，并委托采购人所在地具备资质的第三方机构检测。食材符合质量标准的，检测费用由采购人承担；不符合质量标准的，检测费用由中标人承担。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付款方式：按月据实付款。</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五、监管要求</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1.本项目合同签订前，中标人须向采购人提供《食品质量安全承诺书》，并为本项目每年投保食品安全责任险。</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 中标人提供的食材及配送服务须服从采购人及其他职能部门的监督、管理。</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 中标人应有具体的管理规章制度、针对本项目应制定本项目完善的质量及安全控 制方案、采购方案、配送方案及应急管理方案，明确实施团队的组织管理和时间、工作 、人员及设备的具体安排，采取有效的控制措施，确保过程合理、规范、安全，保证食 材和配送服务的质量。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4.采购人不定期抽查中标人的食材质量及配送服务情况，若不符合投标承诺或招标 要求的，采购人将要求该中标人在限期内整改。逾期未整改或整改仍不符合要求的 , 采购人将对此不良行为记录在案，暂停其供货资格1次。服务期内累计3次不良行为记录的 , 采购人有权取消其供货资格，有权提出解除合同（由中标人承担因此产生的一切经济 责任及法律责任）。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5.当食品药品监督管理部门等对采购人的食堂或中标人配送的食材进行检查时，中标人须无条件全力配合。</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 中标人须及时向采购人提供自己及货物来源最新的、符合食品安全监督部门要求的全部有效证明材料。</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7. 中标人将本项目转包或分包给他人，或中标人的资质情况在合同期间发生变化而 不再符合要求的，采购人均有权提出解除合同，由该中标人承担因此产生的一切经济及法律责任。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8. 中标人须安排1名专人作为售后服务人员与采购人单位食堂管理员对接，及时处理解决如加订、提前、延后、质量不符合、质量和数量不符合要求等售后服务问题，如无意外情况，一般不允许更换。中标人须提供对供应食材的供货承诺及自罚。（投标时出具响应承诺）</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9.最终投标报价是履行合同的最终报价，报价形式为报价下浮。应包括本招标项目所包含的货物、包装、运输、装卸、税金等一切税金和费用。</w:t>
            </w:r>
          </w:p>
        </w:tc>
        <w:tc>
          <w:tcPr>
            <w:tcW w:w="556"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p>
        </w:tc>
        <w:tc>
          <w:tcPr>
            <w:tcW w:w="578"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bl>
    <w:p>
      <w:pPr>
        <w:pStyle w:val="3"/>
        <w:keepNext w:val="0"/>
        <w:spacing w:before="0" w:after="0" w:line="360" w:lineRule="auto"/>
        <w:rPr>
          <w:rFonts w:ascii="仿宋_GB2312" w:hAnsi="仿宋_GB2312" w:eastAsia="仿宋_GB2312" w:cs="仿宋_GB2312"/>
          <w:b/>
          <w:bCs/>
          <w:sz w:val="28"/>
          <w:szCs w:val="28"/>
        </w:rPr>
      </w:pPr>
      <w:bookmarkStart w:id="26" w:name="_Toc256000024"/>
      <w:r>
        <w:rPr>
          <w:rFonts w:ascii="仿宋_GB2312" w:hAnsi="仿宋_GB2312" w:eastAsia="仿宋_GB2312" w:cs="仿宋_GB2312"/>
          <w:i w:val="0"/>
          <w:iCs w:val="0"/>
        </w:rPr>
        <w:t>3.4服务要求</w:t>
      </w:r>
      <w:bookmarkEnd w:id="26"/>
    </w:p>
    <w:p>
      <w:pPr>
        <w:pStyle w:val="3"/>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i w:val="0"/>
          <w:iCs w:val="0"/>
        </w:rPr>
        <w:t>3.5其他要求</w:t>
      </w:r>
      <w:bookmarkEnd w:id="27"/>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合同最终结算依据以实际发生的经采购人确认的实际供货情况为准，货款分期据实结算。 当期货款结算金额=当期货款金额*(1-总价下浮率%)，当期货款金额=（单品时价*单品数量），单品时价以呼和浩特市东瓦窑农贸市场或美通农贸市场单品价格为参考确定。</w:t>
      </w:r>
    </w:p>
    <w:p>
      <w:pPr>
        <w:pStyle w:val="2"/>
        <w:keepNext w:val="0"/>
        <w:spacing w:before="0" w:after="0" w:line="360" w:lineRule="auto"/>
        <w:jc w:val="center"/>
        <w:rPr>
          <w:rFonts w:ascii="仿宋_GB2312" w:hAnsi="仿宋_GB2312" w:eastAsia="仿宋_GB2312" w:cs="仿宋_GB2312"/>
          <w:b/>
          <w:bCs/>
          <w:sz w:val="32"/>
          <w:szCs w:val="32"/>
        </w:rPr>
      </w:pPr>
      <w:bookmarkStart w:id="28" w:name="_Toc256000026"/>
      <w:r>
        <w:rPr>
          <w:rFonts w:ascii="仿宋_GB2312" w:hAnsi="仿宋_GB2312" w:eastAsia="仿宋_GB2312" w:cs="仿宋_GB2312"/>
          <w:kern w:val="36"/>
        </w:rPr>
        <w:t>4人员要求</w:t>
      </w:r>
      <w:bookmarkEnd w:id="28"/>
    </w:p>
    <w:p>
      <w:pPr>
        <w:pStyle w:val="3"/>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i w:val="0"/>
          <w:iCs w:val="0"/>
        </w:rPr>
        <w:t>4.1团队要求</w:t>
      </w:r>
      <w:bookmarkEnd w:id="29"/>
    </w:p>
    <w:p>
      <w:pPr>
        <w:pStyle w:val="4"/>
        <w:keepNext w:val="0"/>
        <w:spacing w:before="0" w:after="0" w:line="360" w:lineRule="auto"/>
        <w:rPr>
          <w:rFonts w:ascii="仿宋_GB2312" w:hAnsi="仿宋_GB2312" w:eastAsia="仿宋_GB2312" w:cs="仿宋_GB2312"/>
          <w:b/>
          <w:bCs/>
          <w:sz w:val="28"/>
          <w:szCs w:val="28"/>
        </w:rPr>
      </w:pPr>
      <w:bookmarkStart w:id="30" w:name="_Toc256000028"/>
      <w:r>
        <w:rPr>
          <w:rFonts w:ascii="仿宋_GB2312" w:hAnsi="仿宋_GB2312" w:eastAsia="仿宋_GB2312" w:cs="仿宋_GB2312"/>
          <w:sz w:val="28"/>
          <w:szCs w:val="28"/>
        </w:rPr>
        <w:t>4.1.1基本要求</w:t>
      </w:r>
      <w:bookmarkEnd w:id="30"/>
    </w:p>
    <w:p>
      <w:pPr>
        <w:spacing w:before="0" w:after="0" w:line="360" w:lineRule="auto"/>
        <w:rPr>
          <w:rFonts w:ascii="Times New Roman" w:hAnsi="Times New Roman" w:eastAsia="Times New Roman" w:cs="Times New Roman"/>
        </w:rPr>
      </w:pPr>
      <w:r>
        <w:rPr>
          <w:sz w:val="28"/>
          <w:szCs w:val="28"/>
        </w:rPr>
        <w:t>        中标人须安排1名专人作为售后服务人员与采购人单位食堂管理员对接，及时处理解决如加订、提前、延后、质量不符合、质量和数量不符合要求等售后服务问题，如无意外情况，一般不允许更换。</w:t>
      </w:r>
    </w:p>
    <w:p>
      <w:pPr>
        <w:pStyle w:val="15"/>
        <w:spacing w:before="0" w:after="0" w:line="360" w:lineRule="auto"/>
        <w:ind w:left="118" w:right="115" w:firstLine="560"/>
        <w:rPr>
          <w:rFonts w:ascii="Times New Roman" w:hAnsi="Times New Roman" w:eastAsia="Times New Roman" w:cs="Times New Roman"/>
        </w:rPr>
      </w:pPr>
      <w:r>
        <w:rPr>
          <w:sz w:val="28"/>
          <w:szCs w:val="28"/>
        </w:rPr>
        <w:t>中标人需委派专职配送人员，须具有有效的身份及健康证明文件，并事前向采购人备案 ；中标人须在获取中标通知书后5个工作日内，向采购人作食材配送车辆及人员的登记备案；若服务期内需要变更的，须在事先征得采购人同意的情况下作出变更登记 。配送人员配送过程须穿着便于辨认的工作服，佩戴工作证，并配备相应的劳动和卫生等防护用品。中标人须保证委派的配送人员身体健康状况良好，并无条件接受采购人提出的各项健康管理措施。</w:t>
      </w:r>
    </w:p>
    <w:p>
      <w:pPr>
        <w:pStyle w:val="4"/>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sz w:val="28"/>
          <w:szCs w:val="28"/>
        </w:rPr>
        <w:t>4.1.2优选资质/优选指标</w:t>
      </w:r>
      <w:bookmarkEnd w:id="31"/>
    </w:p>
    <w:p>
      <w:pPr>
        <w:pStyle w:val="2"/>
        <w:keepNext w:val="0"/>
        <w:spacing w:before="0" w:after="0" w:line="360" w:lineRule="auto"/>
        <w:jc w:val="center"/>
        <w:rPr>
          <w:rFonts w:ascii="仿宋_GB2312" w:hAnsi="仿宋_GB2312" w:eastAsia="仿宋_GB2312" w:cs="仿宋_GB2312"/>
          <w:b/>
          <w:bCs/>
          <w:sz w:val="32"/>
          <w:szCs w:val="32"/>
        </w:rPr>
      </w:pPr>
      <w:bookmarkStart w:id="32" w:name="_Toc256000030"/>
      <w:r>
        <w:rPr>
          <w:rFonts w:ascii="仿宋_GB2312" w:hAnsi="仿宋_GB2312" w:eastAsia="仿宋_GB2312" w:cs="仿宋_GB2312"/>
          <w:kern w:val="36"/>
        </w:rPr>
        <w:t>5管理实施要求</w:t>
      </w:r>
      <w:bookmarkEnd w:id="32"/>
    </w:p>
    <w:p>
      <w:pPr>
        <w:pStyle w:val="14"/>
        <w:spacing w:before="0" w:after="0" w:line="360" w:lineRule="auto"/>
        <w:rPr>
          <w:rFonts w:ascii="Times New Roman" w:hAnsi="Times New Roman" w:eastAsia="Times New Roman" w:cs="Times New Roman"/>
        </w:rPr>
      </w:pPr>
      <w:r>
        <w:rPr>
          <w:sz w:val="28"/>
          <w:szCs w:val="28"/>
        </w:rPr>
        <w:t>        供应商须建立健全食材供应专项管理体系，明确责任人、确保从采购、验收、仓储、配送至售后服务全流程规范可控，责任到人。</w:t>
      </w:r>
    </w:p>
    <w:p>
      <w:pPr>
        <w:pStyle w:val="14"/>
        <w:spacing w:before="0" w:after="0" w:line="360" w:lineRule="auto"/>
        <w:ind w:firstLine="560"/>
        <w:rPr>
          <w:rFonts w:ascii="Times New Roman" w:hAnsi="Times New Roman" w:eastAsia="Times New Roman" w:cs="Times New Roman"/>
        </w:rPr>
      </w:pPr>
      <w:r>
        <w:rPr>
          <w:sz w:val="28"/>
          <w:szCs w:val="28"/>
        </w:rPr>
        <w:t>1.本项目合同签订前，中标人须向采购人提供《食品质量安全承诺书》，并为本项目每年投保食品安全责任险。</w:t>
      </w:r>
    </w:p>
    <w:p>
      <w:pPr>
        <w:pStyle w:val="14"/>
        <w:spacing w:before="0" w:after="0" w:line="360" w:lineRule="auto"/>
        <w:ind w:firstLine="560"/>
        <w:rPr>
          <w:rFonts w:ascii="Times New Roman" w:hAnsi="Times New Roman" w:eastAsia="Times New Roman" w:cs="Times New Roman"/>
        </w:rPr>
      </w:pPr>
      <w:r>
        <w:rPr>
          <w:sz w:val="28"/>
          <w:szCs w:val="28"/>
        </w:rPr>
        <w:t>2.中标人提供的食材及配送服务须服从采购人及其他职能部门的监督、管理。</w:t>
      </w:r>
    </w:p>
    <w:p>
      <w:pPr>
        <w:pStyle w:val="14"/>
        <w:spacing w:before="0" w:after="0" w:line="360" w:lineRule="auto"/>
        <w:ind w:firstLine="560"/>
        <w:rPr>
          <w:rFonts w:ascii="Times New Roman" w:hAnsi="Times New Roman" w:eastAsia="Times New Roman" w:cs="Times New Roman"/>
        </w:rPr>
      </w:pPr>
      <w:r>
        <w:rPr>
          <w:sz w:val="28"/>
          <w:szCs w:val="28"/>
        </w:rPr>
        <w:t>3.中标人应有具体的管理规章制度、针对本项目应制定本项目完善的质量及安全控制方案、采购方案、配送方案及应急管理方案，明确实施团队的组织管理和时间、工作、人员及设备的具体安排，采取有效的控制措施，确保过程合理、规范、安全，保证食材和配送服务的质量。</w:t>
      </w:r>
    </w:p>
    <w:p>
      <w:pPr>
        <w:pStyle w:val="14"/>
        <w:spacing w:before="0" w:after="0" w:line="360" w:lineRule="auto"/>
        <w:ind w:firstLine="560"/>
        <w:rPr>
          <w:rFonts w:ascii="Times New Roman" w:hAnsi="Times New Roman" w:eastAsia="Times New Roman" w:cs="Times New Roman"/>
        </w:rPr>
      </w:pPr>
      <w:r>
        <w:rPr>
          <w:sz w:val="28"/>
          <w:szCs w:val="28"/>
        </w:rPr>
        <w:t>4.采购人不定期抽查中标人的食材质量及配送服务情况，若不符合投标承诺或招标要求的，采购人将要求该中标人在限期内整改。逾期未整改或整改仍不符合要求的，采购人将对此不良行为记录在案，暂停其供货资格1次。服务期内累计3次不良行为记录的，采购人有权取消其供货资格，单方面解除合同（由中标人承担因此产生的一切经济责任及法律责任）并通报其他行政事业单位。</w:t>
      </w:r>
    </w:p>
    <w:p>
      <w:pPr>
        <w:pStyle w:val="14"/>
        <w:spacing w:before="0" w:after="0" w:line="360" w:lineRule="auto"/>
        <w:ind w:firstLine="560"/>
        <w:rPr>
          <w:rFonts w:ascii="Times New Roman" w:hAnsi="Times New Roman" w:eastAsia="Times New Roman" w:cs="Times New Roman"/>
        </w:rPr>
      </w:pPr>
      <w:r>
        <w:rPr>
          <w:sz w:val="28"/>
          <w:szCs w:val="28"/>
        </w:rPr>
        <w:t>5.当食品药品监督管理部门等对采购人的食堂或中标人配送的食材进行检查时，中标人须无条件全力配合。</w:t>
      </w:r>
    </w:p>
    <w:p>
      <w:pPr>
        <w:pStyle w:val="14"/>
        <w:spacing w:before="0" w:after="0" w:line="360" w:lineRule="auto"/>
        <w:ind w:firstLine="560"/>
        <w:rPr>
          <w:rFonts w:ascii="Times New Roman" w:hAnsi="Times New Roman" w:eastAsia="Times New Roman" w:cs="Times New Roman"/>
        </w:rPr>
      </w:pPr>
      <w:r>
        <w:rPr>
          <w:sz w:val="28"/>
          <w:szCs w:val="28"/>
        </w:rPr>
        <w:t>6.中标人须及时向采购人提供自己及货物来源最新的、符合食品安全监督部门要求的全部有效证明材料。</w:t>
      </w:r>
    </w:p>
    <w:p>
      <w:pPr>
        <w:pStyle w:val="14"/>
        <w:spacing w:before="0" w:after="0" w:line="360" w:lineRule="auto"/>
        <w:ind w:firstLine="560"/>
        <w:rPr>
          <w:rFonts w:ascii="Times New Roman" w:hAnsi="Times New Roman" w:eastAsia="Times New Roman" w:cs="Times New Roman"/>
        </w:rPr>
      </w:pPr>
      <w:r>
        <w:rPr>
          <w:sz w:val="28"/>
          <w:szCs w:val="28"/>
        </w:rPr>
        <w:t>7.中标人将本项目转包或分包给他人，或中标人的资质情况在合同期间发生变化而不再符合要求的，采购人均有权提出解除合同，由该中标人承担因此产生的一切经济及法律责任。</w:t>
      </w:r>
    </w:p>
    <w:p>
      <w:pPr>
        <w:pStyle w:val="2"/>
        <w:keepNext w:val="0"/>
        <w:spacing w:before="0" w:after="0" w:line="360" w:lineRule="auto"/>
        <w:jc w:val="center"/>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6风险管控要求</w:t>
      </w:r>
      <w:bookmarkEnd w:id="33"/>
    </w:p>
    <w:p>
      <w:pPr>
        <w:pStyle w:val="14"/>
        <w:spacing w:before="0" w:after="0" w:line="360" w:lineRule="auto"/>
        <w:ind w:firstLine="560"/>
        <w:rPr>
          <w:rFonts w:ascii="Times New Roman" w:hAnsi="Times New Roman" w:eastAsia="Times New Roman" w:cs="Times New Roman"/>
        </w:rPr>
      </w:pPr>
      <w:r>
        <w:rPr>
          <w:sz w:val="28"/>
          <w:szCs w:val="28"/>
        </w:rPr>
        <w:t>供应商须建立全链条食品安全风险防控机制，严格落实进货查验、农残检测、检疫检验及溯源管理，杜绝不合格、来源不明、过期变质等食材流入，有效防范食品安全事故发生。</w:t>
      </w:r>
    </w:p>
    <w:p>
      <w:pPr>
        <w:pStyle w:val="2"/>
        <w:keepNext w:val="0"/>
        <w:spacing w:before="0" w:after="0" w:line="360" w:lineRule="auto"/>
        <w:jc w:val="center"/>
        <w:rPr>
          <w:rFonts w:ascii="仿宋_GB2312" w:hAnsi="仿宋_GB2312" w:eastAsia="仿宋_GB2312" w:cs="仿宋_GB2312"/>
          <w:b/>
          <w:bCs/>
          <w:sz w:val="32"/>
          <w:szCs w:val="32"/>
        </w:rPr>
      </w:pPr>
      <w:bookmarkStart w:id="34" w:name="_Toc256000032"/>
      <w:r>
        <w:rPr>
          <w:rFonts w:ascii="仿宋_GB2312" w:hAnsi="仿宋_GB2312" w:eastAsia="仿宋_GB2312" w:cs="仿宋_GB2312"/>
          <w:kern w:val="36"/>
        </w:rPr>
        <w:t>7履约验收要求</w:t>
      </w:r>
      <w:bookmarkEnd w:id="34"/>
    </w:p>
    <w:p>
      <w:pPr>
        <w:pStyle w:val="3"/>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i w:val="0"/>
          <w:iCs w:val="0"/>
        </w:rPr>
        <w:t>7.1总体要求</w:t>
      </w:r>
      <w:bookmarkEnd w:id="35"/>
    </w:p>
    <w:tbl>
      <w:tblPr>
        <w:tblStyle w:val="9"/>
        <w:tblW w:w="5000" w:type="pct"/>
        <w:tblInd w:w="30" w:type="dxa"/>
        <w:tblLayout w:type="autofit"/>
        <w:tblCellMar>
          <w:top w:w="15" w:type="dxa"/>
          <w:left w:w="15" w:type="dxa"/>
          <w:bottom w:w="15" w:type="dxa"/>
          <w:right w:w="15" w:type="dxa"/>
        </w:tblCellMar>
      </w:tblPr>
      <w:tblGrid>
        <w:gridCol w:w="4535"/>
        <w:gridCol w:w="4535"/>
      </w:tblGrid>
      <w:tr>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按合同规定时间按时送达，供应商资质齐全，并保证食材具有检验检疫合格证明、溯源信息等，且所供食材新鲜，严禁过期、三无产品</w:t>
            </w:r>
          </w:p>
        </w:tc>
      </w:tr>
    </w:tbl>
    <w:p>
      <w:pPr>
        <w:pStyle w:val="3"/>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i w:val="0"/>
          <w:iCs w:val="0"/>
        </w:rPr>
        <w:t>7.2具体要求</w:t>
      </w:r>
      <w:bookmarkEnd w:id="36"/>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每月对中标人的绩效进行考核，考核最终结果为计算了扣分项之后的分值，本考核最终结果的总分为100分：</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1.考核得分90分（含）及以上为“优秀”，考核得分80分（含）及以上为“良好”，考核得分70分（含）-80（不含）分为“合格”，考核得分60（含）分-70分（不含）以下为“不合格”，得分60分（不含）以下为“严重不合格”。</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2.考核“不合格”采购方将给予中标人书面警告，通知其限期整改。</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3.考核“严重不合格”，采购方将给予中标人书面警告，通知其限期整改，如到期后整改仍未达到服务标准，采购方有权解除合同。</w:t>
      </w:r>
    </w:p>
    <w:tbl>
      <w:tblPr>
        <w:tblStyle w:val="16"/>
        <w:tblW w:w="9200" w:type="dxa"/>
        <w:jc w:val="center"/>
        <w:tblCellSpacing w:w="0" w:type="dxa"/>
        <w:tblLayout w:type="autofit"/>
        <w:tblCellMar>
          <w:top w:w="15" w:type="dxa"/>
          <w:left w:w="15" w:type="dxa"/>
          <w:bottom w:w="15" w:type="dxa"/>
          <w:right w:w="15" w:type="dxa"/>
        </w:tblCellMar>
      </w:tblPr>
      <w:tblGrid>
        <w:gridCol w:w="780"/>
        <w:gridCol w:w="994"/>
        <w:gridCol w:w="1007"/>
        <w:gridCol w:w="3338"/>
        <w:gridCol w:w="866"/>
        <w:gridCol w:w="771"/>
        <w:gridCol w:w="1444"/>
      </w:tblGrid>
      <w:tr>
        <w:tblPrEx>
          <w:tblCellMar>
            <w:top w:w="15" w:type="dxa"/>
            <w:left w:w="15" w:type="dxa"/>
            <w:bottom w:w="15" w:type="dxa"/>
            <w:right w:w="15" w:type="dxa"/>
          </w:tblCellMar>
        </w:tblPrEx>
        <w:trPr>
          <w:trHeight w:val="560" w:hRule="atLeast"/>
          <w:tblCellSpacing w:w="0" w:type="dxa"/>
          <w:jc w:val="center"/>
        </w:trPr>
        <w:tc>
          <w:tcPr>
            <w:tcW w:w="996" w:type="dxa"/>
            <w:tcBorders>
              <w:bottom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序号</w:t>
            </w:r>
          </w:p>
        </w:tc>
        <w:tc>
          <w:tcPr>
            <w:tcW w:w="1275"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项目</w:t>
            </w:r>
          </w:p>
        </w:tc>
        <w:tc>
          <w:tcPr>
            <w:tcW w:w="1368" w:type="dxa"/>
            <w:tcBorders>
              <w:left w:val="single" w:color="000000" w:sz="8" w:space="0"/>
              <w:bottom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总分</w:t>
            </w: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参考标准内容</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分值</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评分</w:t>
            </w:r>
          </w:p>
        </w:tc>
        <w:tc>
          <w:tcPr>
            <w:tcW w:w="2014" w:type="dxa"/>
            <w:tcBorders>
              <w:left w:val="single" w:color="000000" w:sz="8" w:space="0"/>
              <w:bottom w:val="single" w:color="000000" w:sz="8" w:space="0"/>
            </w:tcBorders>
            <w:noWrap w:val="0"/>
            <w:tcMar>
              <w:top w:w="0" w:type="dxa"/>
              <w:left w:w="12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评分细则</w:t>
            </w:r>
          </w:p>
        </w:tc>
      </w:tr>
      <w:tr>
        <w:tblPrEx>
          <w:tblCellMar>
            <w:top w:w="15" w:type="dxa"/>
            <w:left w:w="15" w:type="dxa"/>
            <w:bottom w:w="15" w:type="dxa"/>
            <w:right w:w="15" w:type="dxa"/>
          </w:tblCellMar>
        </w:tblPrEx>
        <w:trPr>
          <w:trHeight w:val="560" w:hRule="atLeast"/>
          <w:tblCellSpacing w:w="0" w:type="dxa"/>
          <w:jc w:val="center"/>
        </w:trPr>
        <w:tc>
          <w:tcPr>
            <w:tcW w:w="996" w:type="dxa"/>
            <w:vMerge w:val="restart"/>
            <w:tcBorders>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w:t>
            </w:r>
          </w:p>
        </w:tc>
        <w:tc>
          <w:tcPr>
            <w:tcW w:w="1275" w:type="dxa"/>
            <w:vMerge w:val="restart"/>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人员制度、内部管理</w:t>
            </w:r>
          </w:p>
        </w:tc>
        <w:tc>
          <w:tcPr>
            <w:tcW w:w="1368" w:type="dxa"/>
            <w:vMerge w:val="restart"/>
            <w:tcBorders>
              <w:left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12分</w:t>
            </w: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1.食材供应相关人员持健康证上岗情况。</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4</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tcW w:w="2014" w:type="dxa"/>
            <w:vMerge w:val="restart"/>
            <w:tcBorders>
              <w:left w:val="single" w:color="000000" w:sz="8" w:space="0"/>
            </w:tcBorders>
            <w:noWrap w:val="0"/>
            <w:tcMar>
              <w:top w:w="0" w:type="dxa"/>
              <w:left w:w="128" w:type="dxa"/>
              <w:bottom w:w="0" w:type="dxa"/>
              <w:right w:w="12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凡有1人不符合，扣除1分</w:t>
            </w:r>
          </w:p>
        </w:tc>
      </w:tr>
      <w:tr>
        <w:tblPrEx>
          <w:tblCellMar>
            <w:top w:w="15" w:type="dxa"/>
            <w:left w:w="15" w:type="dxa"/>
            <w:bottom w:w="15" w:type="dxa"/>
            <w:right w:w="15" w:type="dxa"/>
          </w:tblCellMar>
        </w:tblPrEx>
        <w:trPr>
          <w:trHeight w:val="1120"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2.供应商所承诺的项目工作人员，必须和承接此项目后开展工作的团队人员相符。</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4</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vMerge w:val="continue"/>
            <w:tcBorders>
              <w:left w:val="single" w:color="000000" w:sz="8" w:space="0"/>
            </w:tcBorders>
            <w:vAlign w:val="center"/>
          </w:tcPr>
          <w:p>
            <w:pPr>
              <w:rPr>
                <w:rFonts w:ascii="宋体" w:hAnsi="宋体" w:eastAsia="宋体" w:cs="宋体"/>
                <w:b w:val="0"/>
                <w:bCs w:val="0"/>
                <w:i w:val="0"/>
                <w:iCs w:val="0"/>
                <w:smallCaps w:val="0"/>
                <w:color w:val="000000"/>
                <w:sz w:val="18"/>
                <w:szCs w:val="18"/>
              </w:rPr>
            </w:pPr>
          </w:p>
        </w:tc>
      </w:tr>
      <w:tr>
        <w:tblPrEx>
          <w:tblCellMar>
            <w:top w:w="15" w:type="dxa"/>
            <w:left w:w="15" w:type="dxa"/>
            <w:bottom w:w="15" w:type="dxa"/>
            <w:right w:w="15" w:type="dxa"/>
          </w:tblCellMar>
        </w:tblPrEx>
        <w:trPr>
          <w:trHeight w:val="765"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3.有健全的财务会计制度，运作规范。</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2</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tcW w:w="2014" w:type="dxa"/>
            <w:vMerge w:val="restart"/>
            <w:tcBorders>
              <w:left w:val="single" w:color="000000" w:sz="8" w:space="0"/>
            </w:tcBorders>
            <w:noWrap w:val="0"/>
            <w:tcMar>
              <w:top w:w="0" w:type="dxa"/>
              <w:left w:w="128" w:type="dxa"/>
              <w:bottom w:w="0" w:type="dxa"/>
              <w:right w:w="12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完全符合得满分，部分符合相应递减，不符合得0分</w:t>
            </w:r>
          </w:p>
        </w:tc>
      </w:tr>
      <w:tr>
        <w:tblPrEx>
          <w:tblCellMar>
            <w:top w:w="15" w:type="dxa"/>
            <w:left w:w="15" w:type="dxa"/>
            <w:bottom w:w="15" w:type="dxa"/>
            <w:right w:w="15" w:type="dxa"/>
          </w:tblCellMar>
        </w:tblPrEx>
        <w:trPr>
          <w:trHeight w:val="1460"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4.健全考核制度，岗位职责，工作流程，建立各类应急预案。</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2</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vMerge w:val="continue"/>
            <w:tcBorders>
              <w:left w:val="single" w:color="000000" w:sz="8" w:space="0"/>
            </w:tcBorders>
            <w:vAlign w:val="center"/>
          </w:tcPr>
          <w:p>
            <w:pPr>
              <w:rPr>
                <w:rFonts w:ascii="宋体" w:hAnsi="宋体" w:eastAsia="宋体" w:cs="宋体"/>
                <w:b w:val="0"/>
                <w:bCs w:val="0"/>
                <w:i w:val="0"/>
                <w:iCs w:val="0"/>
                <w:smallCaps w:val="0"/>
                <w:color w:val="000000"/>
                <w:sz w:val="18"/>
                <w:szCs w:val="18"/>
              </w:rPr>
            </w:pPr>
          </w:p>
        </w:tc>
      </w:tr>
      <w:tr>
        <w:tblPrEx>
          <w:tblCellMar>
            <w:top w:w="15" w:type="dxa"/>
            <w:left w:w="15" w:type="dxa"/>
            <w:bottom w:w="15" w:type="dxa"/>
            <w:right w:w="15" w:type="dxa"/>
          </w:tblCellMar>
        </w:tblPrEx>
        <w:trPr>
          <w:trHeight w:val="2240" w:hRule="atLeast"/>
          <w:tblCellSpacing w:w="0" w:type="dxa"/>
          <w:jc w:val="center"/>
        </w:trPr>
        <w:tc>
          <w:tcPr>
            <w:tcW w:w="996" w:type="dxa"/>
            <w:tcBorders>
              <w:bottom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2</w:t>
            </w:r>
          </w:p>
        </w:tc>
        <w:tc>
          <w:tcPr>
            <w:tcW w:w="1275"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食材</w:t>
            </w:r>
          </w:p>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品质</w:t>
            </w:r>
          </w:p>
        </w:tc>
        <w:tc>
          <w:tcPr>
            <w:tcW w:w="1368" w:type="dxa"/>
            <w:tcBorders>
              <w:left w:val="single" w:color="000000" w:sz="8" w:space="0"/>
              <w:bottom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50分</w:t>
            </w: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各类食材均需符合符合采购文件要求和相关行业标准。每有一类不合格扣2分。</w:t>
            </w:r>
          </w:p>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50</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tcW w:w="2014" w:type="dxa"/>
            <w:tcBorders>
              <w:left w:val="single" w:color="000000" w:sz="8" w:space="0"/>
              <w:bottom w:val="single" w:color="000000" w:sz="8" w:space="0"/>
            </w:tcBorders>
            <w:noWrap w:val="0"/>
            <w:tcMar>
              <w:top w:w="0" w:type="dxa"/>
              <w:left w:w="128" w:type="dxa"/>
              <w:bottom w:w="0" w:type="dxa"/>
              <w:right w:w="12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完全符合得满分，部分符合相应递减，不符合得0分</w:t>
            </w:r>
          </w:p>
        </w:tc>
      </w:tr>
      <w:tr>
        <w:tblPrEx>
          <w:tblCellMar>
            <w:top w:w="15" w:type="dxa"/>
            <w:left w:w="15" w:type="dxa"/>
            <w:bottom w:w="15" w:type="dxa"/>
            <w:right w:w="15" w:type="dxa"/>
          </w:tblCellMar>
        </w:tblPrEx>
        <w:trPr>
          <w:trHeight w:val="1680" w:hRule="atLeast"/>
          <w:tblCellSpacing w:w="0" w:type="dxa"/>
          <w:jc w:val="center"/>
        </w:trPr>
        <w:tc>
          <w:tcPr>
            <w:tcW w:w="996" w:type="dxa"/>
            <w:vMerge w:val="restart"/>
            <w:tcBorders>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p>
        </w:tc>
        <w:tc>
          <w:tcPr>
            <w:tcW w:w="1275" w:type="dxa"/>
            <w:vMerge w:val="restart"/>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配送</w:t>
            </w:r>
          </w:p>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服务</w:t>
            </w:r>
          </w:p>
        </w:tc>
        <w:tc>
          <w:tcPr>
            <w:tcW w:w="1368" w:type="dxa"/>
            <w:vMerge w:val="restart"/>
            <w:tcBorders>
              <w:left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25分</w:t>
            </w: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1.配送及时，每日按照采购网要求将食材按时送达。每迟到一次扣2分，因为送达不及时造成影响的，扣5分。</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16</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tcW w:w="2014" w:type="dxa"/>
            <w:vMerge w:val="restart"/>
            <w:tcBorders>
              <w:left w:val="single" w:color="000000" w:sz="8" w:space="0"/>
            </w:tcBorders>
            <w:noWrap w:val="0"/>
            <w:tcMar>
              <w:top w:w="0" w:type="dxa"/>
              <w:left w:w="128" w:type="dxa"/>
              <w:bottom w:w="0" w:type="dxa"/>
              <w:right w:w="12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完全符合得满分，部分符合相应递减，不符合得0分</w:t>
            </w:r>
          </w:p>
        </w:tc>
      </w:tr>
      <w:tr>
        <w:tblPrEx>
          <w:tblCellMar>
            <w:top w:w="15" w:type="dxa"/>
            <w:left w:w="15" w:type="dxa"/>
            <w:bottom w:w="15" w:type="dxa"/>
            <w:right w:w="15" w:type="dxa"/>
          </w:tblCellMar>
        </w:tblPrEx>
        <w:trPr>
          <w:trHeight w:val="4479"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2.</w:t>
            </w:r>
            <w:r>
              <w:rPr>
                <w:rFonts w:ascii="宋体" w:hAnsi="宋体" w:eastAsia="宋体" w:cs="宋体"/>
                <w:b w:val="0"/>
                <w:bCs w:val="0"/>
                <w:i w:val="0"/>
                <w:iCs w:val="0"/>
                <w:smallCaps w:val="0"/>
                <w:color w:val="333333"/>
                <w:spacing w:val="2"/>
                <w:sz w:val="18"/>
                <w:szCs w:val="18"/>
              </w:rPr>
              <w:t>中标人委派的食材配送车辆须符合国家的有关规</w:t>
            </w:r>
            <w:r>
              <w:rPr>
                <w:rFonts w:ascii="宋体" w:hAnsi="宋体" w:eastAsia="宋体" w:cs="宋体"/>
                <w:b w:val="0"/>
                <w:bCs w:val="0"/>
                <w:i w:val="0"/>
                <w:iCs w:val="0"/>
                <w:smallCaps w:val="0"/>
                <w:color w:val="333333"/>
                <w:spacing w:val="1"/>
                <w:sz w:val="18"/>
                <w:szCs w:val="18"/>
              </w:rPr>
              <w:t>定，具备齐全的法定证照，且为</w:t>
            </w:r>
            <w:r>
              <w:rPr>
                <w:rFonts w:ascii="宋体" w:hAnsi="宋体" w:eastAsia="宋体" w:cs="宋体"/>
                <w:b w:val="0"/>
                <w:bCs w:val="0"/>
                <w:i w:val="0"/>
                <w:iCs w:val="0"/>
                <w:smallCaps w:val="0"/>
                <w:color w:val="333333"/>
                <w:spacing w:val="2"/>
                <w:sz w:val="18"/>
                <w:szCs w:val="18"/>
              </w:rPr>
              <w:t>食品运送专用车辆。采用封闭的、有低温保鲜设备并符合国家卫生、</w:t>
            </w:r>
            <w:r>
              <w:rPr>
                <w:rFonts w:ascii="宋体" w:hAnsi="宋体" w:eastAsia="宋体" w:cs="宋体"/>
                <w:b w:val="0"/>
                <w:bCs w:val="0"/>
                <w:i w:val="0"/>
                <w:iCs w:val="0"/>
                <w:smallCaps w:val="0"/>
                <w:color w:val="333333"/>
                <w:spacing w:val="1"/>
                <w:sz w:val="18"/>
                <w:szCs w:val="18"/>
              </w:rPr>
              <w:t>动物防疫条件运输</w:t>
            </w:r>
            <w:r>
              <w:rPr>
                <w:rFonts w:ascii="宋体" w:hAnsi="宋体" w:eastAsia="宋体" w:cs="宋体"/>
                <w:b w:val="0"/>
                <w:bCs w:val="0"/>
                <w:i w:val="0"/>
                <w:iCs w:val="0"/>
                <w:smallCaps w:val="0"/>
                <w:color w:val="333333"/>
                <w:spacing w:val="2"/>
                <w:sz w:val="18"/>
                <w:szCs w:val="18"/>
              </w:rPr>
              <w:t>车厢的内仓，包括地面、墙面和顶盖，应使用抗腐蚀、防潮，易清洁</w:t>
            </w:r>
            <w:r>
              <w:rPr>
                <w:rFonts w:ascii="宋体" w:hAnsi="宋体" w:eastAsia="宋体" w:cs="宋体"/>
                <w:b w:val="0"/>
                <w:bCs w:val="0"/>
                <w:i w:val="0"/>
                <w:iCs w:val="0"/>
                <w:smallCaps w:val="0"/>
                <w:color w:val="333333"/>
                <w:spacing w:val="1"/>
                <w:sz w:val="18"/>
                <w:szCs w:val="18"/>
              </w:rPr>
              <w:t>消毒的材料；车厢</w:t>
            </w:r>
            <w:r>
              <w:rPr>
                <w:rFonts w:ascii="宋体" w:hAnsi="宋体" w:eastAsia="宋体" w:cs="宋体"/>
                <w:b w:val="0"/>
                <w:bCs w:val="0"/>
                <w:i w:val="0"/>
                <w:iCs w:val="0"/>
                <w:smallCaps w:val="0"/>
                <w:color w:val="333333"/>
                <w:sz w:val="18"/>
                <w:szCs w:val="18"/>
              </w:rPr>
              <w:t>内无不良异味；运输途中严防日晒、雨淋，通风散热适宜。</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vMerge w:val="continue"/>
            <w:tcBorders>
              <w:left w:val="single" w:color="000000" w:sz="8" w:space="0"/>
            </w:tcBorders>
            <w:vAlign w:val="center"/>
          </w:tcPr>
          <w:p>
            <w:pPr>
              <w:rPr>
                <w:rFonts w:ascii="宋体" w:hAnsi="宋体" w:eastAsia="宋体" w:cs="宋体"/>
                <w:b w:val="0"/>
                <w:bCs w:val="0"/>
                <w:i w:val="0"/>
                <w:iCs w:val="0"/>
                <w:smallCaps w:val="0"/>
                <w:color w:val="000000"/>
                <w:sz w:val="18"/>
                <w:szCs w:val="18"/>
              </w:rPr>
            </w:pPr>
          </w:p>
        </w:tc>
      </w:tr>
      <w:tr>
        <w:tblPrEx>
          <w:tblCellMar>
            <w:top w:w="15" w:type="dxa"/>
            <w:left w:w="15" w:type="dxa"/>
            <w:bottom w:w="15" w:type="dxa"/>
            <w:right w:w="15" w:type="dxa"/>
          </w:tblCellMar>
        </w:tblPrEx>
        <w:trPr>
          <w:trHeight w:val="1680"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r>
              <w:rPr>
                <w:rFonts w:ascii="宋体" w:hAnsi="宋体" w:eastAsia="宋体" w:cs="宋体"/>
                <w:b w:val="0"/>
                <w:bCs w:val="0"/>
                <w:i w:val="0"/>
                <w:iCs w:val="0"/>
                <w:smallCaps w:val="0"/>
                <w:color w:val="333333"/>
                <w:spacing w:val="3"/>
                <w:sz w:val="18"/>
                <w:szCs w:val="18"/>
              </w:rPr>
              <w:t>配送车辆须保持清洁卫生，并做好消毒措</w:t>
            </w:r>
            <w:r>
              <w:rPr>
                <w:rFonts w:ascii="宋体" w:hAnsi="宋体" w:eastAsia="宋体" w:cs="宋体"/>
                <w:b w:val="0"/>
                <w:bCs w:val="0"/>
                <w:i w:val="0"/>
                <w:iCs w:val="0"/>
                <w:smallCaps w:val="0"/>
                <w:color w:val="333333"/>
                <w:spacing w:val="2"/>
                <w:sz w:val="18"/>
                <w:szCs w:val="18"/>
              </w:rPr>
              <w:t>施，每天做好车辆运输配送、清洁消</w:t>
            </w:r>
            <w:r>
              <w:rPr>
                <w:rFonts w:ascii="宋体" w:hAnsi="宋体" w:eastAsia="宋体" w:cs="宋体"/>
                <w:b w:val="0"/>
                <w:bCs w:val="0"/>
                <w:i w:val="0"/>
                <w:iCs w:val="0"/>
                <w:smallCaps w:val="0"/>
                <w:color w:val="333333"/>
                <w:spacing w:val="1"/>
                <w:sz w:val="18"/>
                <w:szCs w:val="18"/>
              </w:rPr>
              <w:t>毒记录，确保食材在配送过程中不受污染。</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vMerge w:val="continue"/>
            <w:tcBorders>
              <w:left w:val="single" w:color="000000" w:sz="8" w:space="0"/>
            </w:tcBorders>
            <w:vAlign w:val="center"/>
          </w:tcPr>
          <w:p>
            <w:pPr>
              <w:rPr>
                <w:rFonts w:ascii="宋体" w:hAnsi="宋体" w:eastAsia="宋体" w:cs="宋体"/>
                <w:b w:val="0"/>
                <w:bCs w:val="0"/>
                <w:i w:val="0"/>
                <w:iCs w:val="0"/>
                <w:smallCaps w:val="0"/>
                <w:color w:val="000000"/>
                <w:sz w:val="18"/>
                <w:szCs w:val="18"/>
              </w:rPr>
            </w:pPr>
          </w:p>
        </w:tc>
      </w:tr>
      <w:tr>
        <w:tblPrEx>
          <w:tblCellMar>
            <w:top w:w="15" w:type="dxa"/>
            <w:left w:w="15" w:type="dxa"/>
            <w:bottom w:w="15" w:type="dxa"/>
            <w:right w:w="15" w:type="dxa"/>
          </w:tblCellMar>
        </w:tblPrEx>
        <w:trPr>
          <w:trHeight w:val="1120"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4.</w:t>
            </w:r>
            <w:r>
              <w:rPr>
                <w:rFonts w:ascii="宋体" w:hAnsi="宋体" w:eastAsia="宋体" w:cs="宋体"/>
                <w:b w:val="0"/>
                <w:bCs w:val="0"/>
                <w:i w:val="0"/>
                <w:iCs w:val="0"/>
                <w:smallCaps w:val="0"/>
                <w:color w:val="333333"/>
                <w:spacing w:val="3"/>
                <w:sz w:val="18"/>
                <w:szCs w:val="18"/>
              </w:rPr>
              <w:t>每次配送食材，中标人使用的车辆及人员须</w:t>
            </w:r>
            <w:r>
              <w:rPr>
                <w:rFonts w:ascii="宋体" w:hAnsi="宋体" w:eastAsia="宋体" w:cs="宋体"/>
                <w:b w:val="0"/>
                <w:bCs w:val="0"/>
                <w:i w:val="0"/>
                <w:iCs w:val="0"/>
                <w:smallCaps w:val="0"/>
                <w:color w:val="333333"/>
                <w:spacing w:val="2"/>
                <w:sz w:val="18"/>
                <w:szCs w:val="18"/>
              </w:rPr>
              <w:t>为已登记备案的车辆及人员</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p>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vMerge w:val="continue"/>
            <w:tcBorders>
              <w:left w:val="single" w:color="000000" w:sz="8" w:space="0"/>
            </w:tcBorders>
            <w:vAlign w:val="center"/>
          </w:tcPr>
          <w:p>
            <w:pPr>
              <w:rPr>
                <w:rFonts w:ascii="宋体" w:hAnsi="宋体" w:eastAsia="宋体" w:cs="宋体"/>
                <w:b w:val="0"/>
                <w:bCs w:val="0"/>
                <w:i w:val="0"/>
                <w:iCs w:val="0"/>
                <w:smallCaps w:val="0"/>
                <w:color w:val="000000"/>
                <w:sz w:val="18"/>
                <w:szCs w:val="18"/>
              </w:rPr>
            </w:pPr>
          </w:p>
        </w:tc>
      </w:tr>
      <w:tr>
        <w:tblPrEx>
          <w:tblCellMar>
            <w:top w:w="15" w:type="dxa"/>
            <w:left w:w="15" w:type="dxa"/>
            <w:bottom w:w="15" w:type="dxa"/>
            <w:right w:w="15" w:type="dxa"/>
          </w:tblCellMar>
        </w:tblPrEx>
        <w:trPr>
          <w:trHeight w:val="1587" w:hRule="atLeast"/>
          <w:tblCellSpacing w:w="0" w:type="dxa"/>
          <w:jc w:val="center"/>
        </w:trPr>
        <w:tc>
          <w:tcPr>
            <w:tcW w:w="996" w:type="dxa"/>
            <w:vMerge w:val="restart"/>
            <w:tcBorders>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4</w:t>
            </w:r>
          </w:p>
        </w:tc>
        <w:tc>
          <w:tcPr>
            <w:tcW w:w="1275" w:type="dxa"/>
            <w:vMerge w:val="restart"/>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333333"/>
                <w:spacing w:val="-1"/>
                <w:sz w:val="18"/>
                <w:szCs w:val="18"/>
              </w:rPr>
              <w:t>档案</w:t>
            </w:r>
          </w:p>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333333"/>
                <w:spacing w:val="-1"/>
                <w:sz w:val="18"/>
                <w:szCs w:val="18"/>
              </w:rPr>
              <w:t>管理</w:t>
            </w:r>
          </w:p>
        </w:tc>
        <w:tc>
          <w:tcPr>
            <w:tcW w:w="1368" w:type="dxa"/>
            <w:vMerge w:val="restart"/>
            <w:tcBorders>
              <w:left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13分</w:t>
            </w: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5"/>
              <w:spacing w:before="156" w:line="288" w:lineRule="auto"/>
              <w:ind w:right="227"/>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1.记录入库信息，包括到货时间、数量、验收人员、存储温湿度（针对冷链食材 ) 。</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tcW w:w="2014" w:type="dxa"/>
            <w:vMerge w:val="restart"/>
            <w:tcBorders>
              <w:left w:val="single" w:color="000000" w:sz="8" w:space="0"/>
            </w:tcBorders>
            <w:noWrap w:val="0"/>
            <w:tcMar>
              <w:top w:w="0" w:type="dxa"/>
              <w:left w:w="128" w:type="dxa"/>
              <w:bottom w:w="0" w:type="dxa"/>
              <w:right w:w="12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完全符合得满分，部分符合相应递减，不符合得0分</w:t>
            </w:r>
          </w:p>
        </w:tc>
      </w:tr>
      <w:tr>
        <w:tblPrEx>
          <w:tblCellMar>
            <w:top w:w="15" w:type="dxa"/>
            <w:left w:w="15" w:type="dxa"/>
            <w:bottom w:w="15" w:type="dxa"/>
            <w:right w:w="15" w:type="dxa"/>
          </w:tblCellMar>
        </w:tblPrEx>
        <w:trPr>
          <w:trHeight w:val="1203"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5"/>
              <w:spacing w:before="156" w:line="288" w:lineRule="auto"/>
              <w:ind w:right="227"/>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2.归档出库信息，包括配送时间、配送人员、车辆编号、 目的地客户信息。</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vMerge w:val="continue"/>
            <w:tcBorders>
              <w:left w:val="single" w:color="000000" w:sz="8" w:space="0"/>
            </w:tcBorders>
            <w:vAlign w:val="center"/>
          </w:tcPr>
          <w:p>
            <w:pPr>
              <w:rPr>
                <w:rFonts w:ascii="宋体" w:hAnsi="宋体" w:eastAsia="宋体" w:cs="宋体"/>
                <w:b w:val="0"/>
                <w:bCs w:val="0"/>
                <w:i w:val="0"/>
                <w:iCs w:val="0"/>
                <w:smallCaps w:val="0"/>
                <w:color w:val="000000"/>
                <w:sz w:val="18"/>
                <w:szCs w:val="18"/>
              </w:rPr>
            </w:pPr>
          </w:p>
        </w:tc>
      </w:tr>
      <w:tr>
        <w:tblPrEx>
          <w:tblCellMar>
            <w:top w:w="15" w:type="dxa"/>
            <w:left w:w="15" w:type="dxa"/>
            <w:bottom w:w="15" w:type="dxa"/>
            <w:right w:w="15" w:type="dxa"/>
          </w:tblCellMar>
        </w:tblPrEx>
        <w:trPr>
          <w:trHeight w:val="1120" w:hRule="atLeast"/>
          <w:tblCellSpacing w:w="0" w:type="dxa"/>
          <w:jc w:val="center"/>
        </w:trPr>
        <w:tc>
          <w:tcPr>
            <w:vMerge w:val="continue"/>
            <w:tcBorders>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vMerge w:val="continue"/>
            <w:vAlign w:val="center"/>
          </w:tcPr>
          <w:p>
            <w:pPr>
              <w:rPr>
                <w:rFonts w:ascii="宋体" w:hAnsi="宋体" w:eastAsia="宋体" w:cs="宋体"/>
                <w:b w:val="0"/>
                <w:bCs w:val="0"/>
                <w:i w:val="0"/>
                <w:iCs w:val="0"/>
                <w:smallCaps w:val="0"/>
                <w:color w:val="000000"/>
                <w:sz w:val="18"/>
                <w:szCs w:val="18"/>
              </w:rPr>
            </w:pPr>
          </w:p>
        </w:tc>
        <w:tc>
          <w:tcPr>
            <w:vMerge w:val="continue"/>
            <w:tcBorders>
              <w:left w:val="single" w:color="000000" w:sz="8" w:space="0"/>
              <w:right w:val="single" w:color="000000" w:sz="8" w:space="0"/>
            </w:tcBorders>
            <w:vAlign w:val="center"/>
          </w:tcPr>
          <w:p>
            <w:pPr>
              <w:rPr>
                <w:rFonts w:ascii="宋体" w:hAnsi="宋体" w:eastAsia="宋体" w:cs="宋体"/>
                <w:b w:val="0"/>
                <w:bCs w:val="0"/>
                <w:i w:val="0"/>
                <w:iCs w:val="0"/>
                <w:smallCaps w:val="0"/>
                <w:color w:val="000000"/>
                <w:sz w:val="18"/>
                <w:szCs w:val="18"/>
              </w:rPr>
            </w:pPr>
          </w:p>
        </w:tc>
        <w:tc>
          <w:tcPr>
            <w:tcW w:w="489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3.留存异常记录，如食材损坏、变质、配送延迟的处理方案与客户反馈。</w:t>
            </w:r>
          </w:p>
        </w:tc>
        <w:tc>
          <w:tcPr>
            <w:tcW w:w="1155" w:type="dxa"/>
            <w:tcBorders>
              <w:bottom w:val="single" w:color="000000" w:sz="8" w:space="0"/>
              <w:right w:val="single" w:color="000000" w:sz="8" w:space="0"/>
            </w:tcBorders>
            <w:noWrap w:val="0"/>
            <w:tcMar>
              <w:top w:w="0" w:type="dxa"/>
              <w:left w:w="10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3</w:t>
            </w:r>
          </w:p>
        </w:tc>
        <w:tc>
          <w:tcPr>
            <w:tcW w:w="1021"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 </w:t>
            </w:r>
          </w:p>
        </w:tc>
        <w:tc>
          <w:tcPr>
            <w:vMerge w:val="continue"/>
            <w:tcBorders>
              <w:left w:val="single" w:color="000000" w:sz="8" w:space="0"/>
            </w:tcBorders>
            <w:vAlign w:val="center"/>
          </w:tcPr>
          <w:p>
            <w:pPr>
              <w:rPr>
                <w:rFonts w:ascii="宋体" w:hAnsi="宋体" w:eastAsia="宋体" w:cs="宋体"/>
                <w:b w:val="0"/>
                <w:bCs w:val="0"/>
                <w:i w:val="0"/>
                <w:iCs w:val="0"/>
                <w:smallCaps w:val="0"/>
                <w:color w:val="000000"/>
                <w:sz w:val="18"/>
                <w:szCs w:val="18"/>
              </w:rPr>
            </w:pPr>
          </w:p>
        </w:tc>
      </w:tr>
      <w:tr>
        <w:tblPrEx>
          <w:tblCellMar>
            <w:top w:w="15" w:type="dxa"/>
            <w:left w:w="15" w:type="dxa"/>
            <w:bottom w:w="15" w:type="dxa"/>
            <w:right w:w="15" w:type="dxa"/>
          </w:tblCellMar>
        </w:tblPrEx>
        <w:trPr>
          <w:trHeight w:val="560" w:hRule="atLeast"/>
          <w:tblCellSpacing w:w="0" w:type="dxa"/>
          <w:jc w:val="center"/>
        </w:trPr>
        <w:tc>
          <w:tcPr>
            <w:tcW w:w="996" w:type="dxa"/>
            <w:tcBorders>
              <w:bottom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5</w:t>
            </w:r>
          </w:p>
        </w:tc>
        <w:tc>
          <w:tcPr>
            <w:tcW w:w="1275" w:type="dxa"/>
            <w:tcBorders>
              <w:bottom w:val="single" w:color="000000" w:sz="8" w:space="0"/>
            </w:tcBorders>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标准分</w:t>
            </w:r>
          </w:p>
        </w:tc>
        <w:tc>
          <w:tcPr>
            <w:tcW w:w="8475" w:type="dxa"/>
            <w:gridSpan w:val="5"/>
            <w:tcBorders>
              <w:left w:val="single" w:color="000000" w:sz="8" w:space="0"/>
              <w:bottom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100分</w:t>
            </w:r>
          </w:p>
        </w:tc>
      </w:tr>
      <w:tr>
        <w:tblPrEx>
          <w:tblCellMar>
            <w:top w:w="15" w:type="dxa"/>
            <w:left w:w="15" w:type="dxa"/>
            <w:bottom w:w="15" w:type="dxa"/>
            <w:right w:w="15" w:type="dxa"/>
          </w:tblCellMar>
        </w:tblPrEx>
        <w:trPr>
          <w:trHeight w:val="560" w:hRule="atLeast"/>
          <w:tblCellSpacing w:w="0" w:type="dxa"/>
          <w:jc w:val="center"/>
        </w:trPr>
        <w:tc>
          <w:tcPr>
            <w:tcW w:w="996" w:type="dxa"/>
            <w:tcBorders>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6</w:t>
            </w:r>
          </w:p>
        </w:tc>
        <w:tc>
          <w:tcPr>
            <w:tcW w:w="1275" w:type="dxa"/>
            <w:noWrap w:val="0"/>
            <w:tcMar>
              <w:top w:w="0" w:type="dxa"/>
              <w:left w:w="108" w:type="dxa"/>
              <w:bottom w:w="0" w:type="dxa"/>
              <w:right w:w="128" w:type="dxa"/>
            </w:tcMar>
            <w:vAlign w:val="center"/>
          </w:tcPr>
          <w:p>
            <w:pPr>
              <w:pStyle w:val="14"/>
              <w:spacing w:before="0" w:after="0" w:line="500" w:lineRule="atLeast"/>
              <w:ind w:left="0" w:right="0"/>
              <w:jc w:val="center"/>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总得分</w:t>
            </w:r>
          </w:p>
        </w:tc>
        <w:tc>
          <w:tcPr>
            <w:tcW w:w="8475" w:type="dxa"/>
            <w:gridSpan w:val="5"/>
            <w:tcBorders>
              <w:left w:val="single" w:color="000000" w:sz="8" w:space="0"/>
              <w:right w:val="single" w:color="000000" w:sz="8" w:space="0"/>
            </w:tcBorders>
            <w:noWrap w:val="0"/>
            <w:tcMar>
              <w:top w:w="0" w:type="dxa"/>
              <w:left w:w="128" w:type="dxa"/>
              <w:bottom w:w="0" w:type="dxa"/>
              <w:right w:w="148" w:type="dxa"/>
            </w:tcMar>
            <w:vAlign w:val="center"/>
          </w:tcPr>
          <w:p>
            <w:pPr>
              <w:pStyle w:val="14"/>
              <w:spacing w:before="0" w:after="0" w:line="500" w:lineRule="atLeast"/>
              <w:ind w:left="0" w:right="0"/>
              <w:textAlignment w:val="baseline"/>
              <w:rPr>
                <w:rFonts w:ascii="Times New Roman" w:hAnsi="Times New Roman" w:eastAsia="Times New Roman" w:cs="Times New Roman"/>
                <w:b w:val="0"/>
                <w:bCs w:val="0"/>
                <w:i w:val="0"/>
                <w:iCs w:val="0"/>
                <w:smallCaps w:val="0"/>
                <w:color w:val="000000"/>
              </w:rPr>
            </w:pPr>
            <w:r>
              <w:rPr>
                <w:rFonts w:ascii="宋体" w:hAnsi="宋体" w:eastAsia="宋体" w:cs="宋体"/>
                <w:b w:val="0"/>
                <w:bCs w:val="0"/>
                <w:i w:val="0"/>
                <w:iCs w:val="0"/>
                <w:smallCaps w:val="0"/>
                <w:color w:val="000000"/>
                <w:sz w:val="18"/>
                <w:szCs w:val="18"/>
              </w:rPr>
              <w:t>考核实际得分 </w:t>
            </w:r>
          </w:p>
        </w:tc>
      </w:tr>
    </w:tbl>
    <w:p>
      <w:pPr>
        <w:pStyle w:val="2"/>
        <w:keepNext w:val="0"/>
        <w:spacing w:before="0" w:after="0" w:line="360" w:lineRule="auto"/>
        <w:jc w:val="center"/>
        <w:rPr>
          <w:rFonts w:ascii="仿宋_GB2312" w:hAnsi="仿宋_GB2312" w:eastAsia="仿宋_GB2312" w:cs="仿宋_GB2312"/>
          <w:b/>
          <w:bCs/>
          <w:sz w:val="32"/>
          <w:szCs w:val="32"/>
        </w:rPr>
      </w:pPr>
      <w:bookmarkStart w:id="37" w:name="_Toc256000035"/>
      <w:r>
        <w:rPr>
          <w:rFonts w:ascii="仿宋_GB2312" w:hAnsi="仿宋_GB2312" w:eastAsia="仿宋_GB2312" w:cs="仿宋_GB2312"/>
          <w:kern w:val="36"/>
        </w:rPr>
        <w:t>8其他要求</w:t>
      </w:r>
      <w:bookmarkEnd w:id="37"/>
    </w:p>
    <w:p>
      <w:pPr>
        <w:pStyle w:val="3"/>
        <w:keepNext w:val="0"/>
        <w:spacing w:before="0" w:after="0" w:line="360" w:lineRule="auto"/>
        <w:rPr>
          <w:rFonts w:ascii="仿宋_GB2312" w:hAnsi="仿宋_GB2312" w:eastAsia="仿宋_GB2312" w:cs="仿宋_GB2312"/>
          <w:b/>
          <w:bCs/>
          <w:sz w:val="28"/>
          <w:szCs w:val="28"/>
        </w:rPr>
      </w:pPr>
      <w:bookmarkStart w:id="38" w:name="_Toc256000036"/>
      <w:r>
        <w:rPr>
          <w:rFonts w:ascii="仿宋_GB2312" w:hAnsi="仿宋_GB2312" w:eastAsia="仿宋_GB2312" w:cs="仿宋_GB2312"/>
          <w:i w:val="0"/>
          <w:iCs w:val="0"/>
        </w:rPr>
        <w:t>8.1必备要求</w:t>
      </w:r>
      <w:bookmarkEnd w:id="38"/>
    </w:p>
    <w:p>
      <w:pPr>
        <w:pStyle w:val="4"/>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sz w:val="28"/>
          <w:szCs w:val="28"/>
        </w:rPr>
        <w:t>8.1.1通用必备要求</w:t>
      </w:r>
      <w:bookmarkEnd w:id="39"/>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以上相关要求，由供应商在响应时应答，在履约验收中，采购人将按照采购文件、中标/成交供应商响应文件、采购合同等对中标/成交供应商提供的货物和服务进行验收，必要时依法依规开展相应检测、认证。</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0" w:name="_Toc256000038"/>
      <w:r>
        <w:rPr>
          <w:rFonts w:ascii="仿宋_GB2312" w:hAnsi="仿宋_GB2312" w:eastAsia="仿宋_GB2312" w:cs="仿宋_GB2312"/>
          <w:i w:val="0"/>
          <w:iCs w:val="0"/>
        </w:rPr>
        <w:t>8.2付款安排建议</w:t>
      </w:r>
      <w:bookmarkEnd w:id="40"/>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8.33%。</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8.33</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合同期内按照实际发生金额定期据实结算，按月支付，具体以双方签订的 采购合同内容为准 , 达到付款条件起 7 日内，支付合同总金额的 8.37%。</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8.37</w:t>
            </w:r>
          </w:p>
        </w:tc>
      </w:tr>
    </w:tbl>
    <w:p>
      <w:pPr>
        <w:pStyle w:val="3"/>
        <w:keepNext w:val="0"/>
        <w:spacing w:before="0" w:after="0" w:line="360" w:lineRule="auto"/>
        <w:rPr>
          <w:rFonts w:ascii="仿宋_GB2312" w:hAnsi="仿宋_GB2312" w:eastAsia="仿宋_GB2312" w:cs="仿宋_GB2312"/>
          <w:b/>
          <w:bCs/>
          <w:sz w:val="28"/>
          <w:szCs w:val="28"/>
        </w:rPr>
      </w:pPr>
      <w:bookmarkStart w:id="41" w:name="_Toc256000039"/>
      <w:r>
        <w:rPr>
          <w:rFonts w:ascii="仿宋_GB2312" w:hAnsi="仿宋_GB2312" w:eastAsia="仿宋_GB2312" w:cs="仿宋_GB2312"/>
          <w:i w:val="0"/>
          <w:iCs w:val="0"/>
        </w:rPr>
        <w:t>8.3其他要求</w:t>
      </w:r>
      <w:bookmarkEnd w:id="41"/>
    </w:p>
    <w:p>
      <w:pPr>
        <w:pStyle w:val="4"/>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sz w:val="28"/>
          <w:szCs w:val="28"/>
        </w:rPr>
        <w:t>8.3.1保密要求</w:t>
      </w:r>
      <w:bookmarkEnd w:id="42"/>
    </w:p>
    <w:p>
      <w:pPr>
        <w:spacing w:before="0" w:after="0" w:line="360" w:lineRule="auto"/>
        <w:ind w:firstLine="561"/>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sz w:val="28"/>
          <w:szCs w:val="28"/>
          <w:lang w:val="en-US" w:eastAsia="en-US" w:bidi="ar-SA"/>
        </w:rPr>
        <w:t>按照采购文件和合同约定。</w:t>
      </w:r>
    </w:p>
    <w:p>
      <w:pPr>
        <w:pStyle w:val="4"/>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sz w:val="28"/>
          <w:szCs w:val="28"/>
        </w:rPr>
        <w:t>8.3.2知识产权要求</w:t>
      </w:r>
      <w:bookmarkEnd w:id="43"/>
    </w:p>
    <w:p>
      <w:pPr>
        <w:spacing w:before="0" w:after="0" w:line="360" w:lineRule="auto"/>
        <w:ind w:firstLine="561"/>
        <w:rPr>
          <w:rFonts w:ascii="Times New Roman" w:hAnsi="Times New Roman" w:eastAsia="Times New Roman" w:cs="Times New Roman"/>
          <w:sz w:val="28"/>
          <w:szCs w:val="28"/>
          <w:lang w:val="en-US" w:eastAsia="en-US" w:bidi="ar-SA"/>
        </w:rPr>
      </w:pPr>
      <w:bookmarkStart w:id="44" w:name="_GoBack"/>
      <w:r>
        <w:rPr>
          <w:rFonts w:ascii="Times New Roman" w:hAnsi="Times New Roman" w:eastAsia="Times New Roman" w:cs="Times New Roman"/>
          <w:sz w:val="28"/>
          <w:szCs w:val="28"/>
          <w:lang w:val="en-US" w:eastAsia="en-US" w:bidi="ar-SA"/>
        </w:rPr>
        <w:t>按照采购文件和合同约定。</w:t>
      </w:r>
    </w:p>
    <w:bookmarkEnd w:id="44"/>
    <w:p>
      <w:pPr>
        <w:pStyle w:val="13"/>
        <w:spacing w:before="0" w:after="0" w:line="360" w:lineRule="auto"/>
        <w:ind w:firstLine="561"/>
        <w:rPr>
          <w:rFonts w:ascii="Times New Roman" w:hAnsi="Times New Roman" w:eastAsia="Times New Roman" w:cs="Times New Roman"/>
        </w:rPr>
      </w:pPr>
      <w:r>
        <w:rPr>
          <w:rFonts w:ascii="仿宋_GB2312" w:hAnsi="仿宋_GB2312" w:eastAsia="仿宋_GB2312" w:cs="仿宋_GB2312"/>
          <w:sz w:val="28"/>
          <w:szCs w:val="28"/>
        </w:rPr>
        <w:t> </w:t>
      </w:r>
    </w:p>
    <w:p>
      <w:pPr>
        <w:spacing w:before="0" w:after="0" w:line="360" w:lineRule="auto"/>
        <w:ind w:firstLine="561"/>
        <w:rPr>
          <w:rFonts w:ascii="仿宋_GB2312" w:hAnsi="仿宋_GB2312" w:eastAsia="仿宋_GB2312" w:cs="仿宋_GB2312"/>
          <w:sz w:val="28"/>
          <w:szCs w:val="28"/>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DAF2A39"/>
    <w:rsid w:val="64A449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uiPriority w:val="0"/>
  </w:style>
  <w:style w:type="paragraph" w:styleId="8">
    <w:name w:val="toc 2"/>
    <w:basedOn w:val="1"/>
    <w:next w:val="1"/>
    <w:uiPriority w:val="0"/>
    <w:pPr>
      <w:ind w:left="240"/>
    </w:pPr>
  </w:style>
  <w:style w:type="character" w:styleId="11">
    <w:name w:val="Hyperlink"/>
    <w:basedOn w:val="10"/>
    <w:uiPriority w:val="0"/>
    <w:rPr>
      <w:color w:val="0000FF"/>
      <w:u w:val="single"/>
    </w:rPr>
  </w:style>
  <w:style w:type="character" w:customStyle="1" w:styleId="12">
    <w:name w:val="fontstyle0"/>
    <w:basedOn w:val="10"/>
    <w:uiPriority w:val="0"/>
  </w:style>
  <w:style w:type="paragraph" w:customStyle="1" w:styleId="13">
    <w:name w:val="MsoNormal"/>
    <w:basedOn w:val="1"/>
    <w:qFormat/>
    <w:uiPriority w:val="0"/>
  </w:style>
  <w:style w:type="paragraph" w:customStyle="1" w:styleId="14">
    <w:name w:val="15"/>
    <w:basedOn w:val="1"/>
    <w:uiPriority w:val="0"/>
  </w:style>
  <w:style w:type="paragraph" w:customStyle="1" w:styleId="15">
    <w:name w:val="16"/>
    <w:basedOn w:val="1"/>
    <w:uiPriority w:val="0"/>
  </w:style>
  <w:style w:type="table" w:customStyle="1" w:styleId="16">
    <w:name w:val="17"/>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19</Pages>
  <Words>0</Words>
  <Characters>0</Characters>
  <Lines>1</Lines>
  <Paragraphs>1</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2026-03-30T08:45:03Z</dcterms:created>
  <dc:creator>Administrator</dc:creator>
  <cp:lastModifiedBy>张明伟</cp:lastModifiedBy>
  <dcterms:modified xsi:type="dcterms:W3CDTF">2026-03-30T08:47:50Z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