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55275B">
      <w:pPr>
        <w:spacing w:line="560" w:lineRule="exact"/>
        <w:jc w:val="left"/>
        <w:rPr>
          <w:rFonts w:hint="default" w:ascii="黑体" w:hAnsi="黑体" w:eastAsia="黑体" w:cs="黑体"/>
          <w:sz w:val="32"/>
          <w:szCs w:val="32"/>
          <w:lang w:val="en-US" w:eastAsia="zh-CN"/>
        </w:rPr>
      </w:pPr>
      <w:bookmarkStart w:id="0" w:name="_GoBack"/>
      <w:bookmarkEnd w:id="0"/>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2</w:t>
      </w:r>
    </w:p>
    <w:p w14:paraId="434CC32E">
      <w:pPr>
        <w:spacing w:line="560" w:lineRule="exact"/>
        <w:jc w:val="center"/>
        <w:rPr>
          <w:rFonts w:hint="eastAsia" w:ascii="方正小标宋简体" w:hAnsi="方正小标宋简体" w:eastAsia="方正小标宋简体" w:cs="方正小标宋简体"/>
          <w:sz w:val="44"/>
          <w:szCs w:val="44"/>
        </w:rPr>
      </w:pPr>
    </w:p>
    <w:p w14:paraId="498890AE">
      <w:pPr>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税务行政处罚“轻微不罚”事项清单</w:t>
      </w:r>
    </w:p>
    <w:p w14:paraId="652FC235">
      <w:pPr>
        <w:spacing w:line="560" w:lineRule="exact"/>
        <w:jc w:val="center"/>
        <w:rPr>
          <w:rFonts w:hint="eastAsia" w:ascii="黑体" w:eastAsia="黑体"/>
          <w:sz w:val="36"/>
          <w:szCs w:val="36"/>
          <w:highlight w:val="yellow"/>
        </w:rPr>
      </w:pPr>
    </w:p>
    <w:p w14:paraId="3ED62FD4">
      <w:pPr>
        <w:pStyle w:val="2"/>
        <w:spacing w:line="360" w:lineRule="auto"/>
        <w:ind w:firstLine="640"/>
        <w:jc w:val="both"/>
        <w:rPr>
          <w:rFonts w:hint="eastAsia"/>
          <w:sz w:val="32"/>
          <w:szCs w:val="32"/>
          <w:highlight w:val="none"/>
        </w:rPr>
      </w:pPr>
      <w:r>
        <w:rPr>
          <w:rFonts w:hint="eastAsia" w:ascii="仿宋_GB2312" w:hAnsi="仿宋_GB2312" w:eastAsia="仿宋_GB2312" w:cs="仿宋_GB2312"/>
          <w:sz w:val="32"/>
          <w:szCs w:val="32"/>
          <w:highlight w:val="none"/>
        </w:rPr>
        <w:t>本清单适用《中华人民共和国行政处罚法》第三十三条第一款“违法行为轻微并及时改正，没有造成危害后果的，不予行政处罚”的情形。</w:t>
      </w:r>
    </w:p>
    <w:tbl>
      <w:tblPr>
        <w:tblStyle w:val="5"/>
        <w:tblW w:w="5221" w:type="pct"/>
        <w:jc w:val="center"/>
        <w:tblLayout w:type="fixed"/>
        <w:tblCellMar>
          <w:top w:w="0" w:type="dxa"/>
          <w:left w:w="108" w:type="dxa"/>
          <w:bottom w:w="0" w:type="dxa"/>
          <w:right w:w="108" w:type="dxa"/>
        </w:tblCellMar>
      </w:tblPr>
      <w:tblGrid>
        <w:gridCol w:w="934"/>
        <w:gridCol w:w="3126"/>
        <w:gridCol w:w="4839"/>
      </w:tblGrid>
      <w:tr w14:paraId="221836B0">
        <w:tblPrEx>
          <w:tblCellMar>
            <w:top w:w="0" w:type="dxa"/>
            <w:left w:w="108" w:type="dxa"/>
            <w:bottom w:w="0" w:type="dxa"/>
            <w:right w:w="108" w:type="dxa"/>
          </w:tblCellMar>
        </w:tblPrEx>
        <w:trPr>
          <w:trHeight w:val="660" w:hRule="atLeast"/>
          <w:jc w:val="center"/>
        </w:trPr>
        <w:tc>
          <w:tcPr>
            <w:tcW w:w="524" w:type="pct"/>
            <w:tcBorders>
              <w:top w:val="single" w:color="000000" w:sz="4" w:space="0"/>
              <w:left w:val="single" w:color="000000" w:sz="4" w:space="0"/>
              <w:bottom w:val="single" w:color="000000" w:sz="4" w:space="0"/>
              <w:right w:val="single" w:color="000000" w:sz="4" w:space="0"/>
            </w:tcBorders>
            <w:noWrap w:val="0"/>
            <w:vAlign w:val="center"/>
          </w:tcPr>
          <w:p w14:paraId="410EC092">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ascii="黑体" w:hAnsi="宋体" w:eastAsia="黑体" w:cs="黑体"/>
                <w:sz w:val="32"/>
                <w:szCs w:val="32"/>
              </w:rPr>
            </w:pPr>
            <w:r>
              <w:rPr>
                <w:rFonts w:ascii="黑体" w:hAnsi="宋体" w:eastAsia="黑体" w:cs="黑体"/>
                <w:sz w:val="32"/>
                <w:szCs w:val="32"/>
                <w:lang w:bidi="ar"/>
              </w:rPr>
              <w:t>序号</w:t>
            </w:r>
          </w:p>
        </w:tc>
        <w:tc>
          <w:tcPr>
            <w:tcW w:w="1756" w:type="pct"/>
            <w:tcBorders>
              <w:top w:val="single" w:color="000000" w:sz="4" w:space="0"/>
              <w:left w:val="single" w:color="000000" w:sz="4" w:space="0"/>
              <w:bottom w:val="single" w:color="000000" w:sz="4" w:space="0"/>
              <w:right w:val="single" w:color="000000" w:sz="4" w:space="0"/>
            </w:tcBorders>
            <w:noWrap w:val="0"/>
            <w:vAlign w:val="center"/>
          </w:tcPr>
          <w:p w14:paraId="2907A26A">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ascii="黑体" w:hAnsi="宋体" w:eastAsia="黑体" w:cs="黑体"/>
                <w:sz w:val="32"/>
                <w:szCs w:val="32"/>
              </w:rPr>
            </w:pPr>
            <w:r>
              <w:rPr>
                <w:rFonts w:ascii="黑体" w:hAnsi="宋体" w:eastAsia="黑体" w:cs="黑体"/>
                <w:sz w:val="32"/>
                <w:szCs w:val="32"/>
                <w:lang w:bidi="ar"/>
              </w:rPr>
              <w:t>事项</w:t>
            </w:r>
          </w:p>
        </w:tc>
        <w:tc>
          <w:tcPr>
            <w:tcW w:w="2718" w:type="pct"/>
            <w:tcBorders>
              <w:top w:val="single" w:color="000000" w:sz="4" w:space="0"/>
              <w:left w:val="single" w:color="000000" w:sz="4" w:space="0"/>
              <w:bottom w:val="single" w:color="000000" w:sz="4" w:space="0"/>
              <w:right w:val="single" w:color="000000" w:sz="4" w:space="0"/>
            </w:tcBorders>
            <w:noWrap w:val="0"/>
            <w:vAlign w:val="center"/>
          </w:tcPr>
          <w:p w14:paraId="18F30070">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ascii="黑体" w:hAnsi="宋体" w:eastAsia="黑体" w:cs="黑体"/>
                <w:sz w:val="32"/>
                <w:szCs w:val="32"/>
              </w:rPr>
            </w:pPr>
            <w:r>
              <w:rPr>
                <w:rFonts w:ascii="黑体" w:hAnsi="宋体" w:eastAsia="黑体" w:cs="黑体"/>
                <w:sz w:val="32"/>
                <w:szCs w:val="32"/>
                <w:lang w:bidi="ar"/>
              </w:rPr>
              <w:t>适用条件</w:t>
            </w:r>
          </w:p>
        </w:tc>
      </w:tr>
      <w:tr w14:paraId="4F740F03">
        <w:tblPrEx>
          <w:tblCellMar>
            <w:top w:w="0" w:type="dxa"/>
            <w:left w:w="108" w:type="dxa"/>
            <w:bottom w:w="0" w:type="dxa"/>
            <w:right w:w="108" w:type="dxa"/>
          </w:tblCellMar>
        </w:tblPrEx>
        <w:trPr>
          <w:trHeight w:val="1240" w:hRule="atLeast"/>
          <w:jc w:val="center"/>
        </w:trPr>
        <w:tc>
          <w:tcPr>
            <w:tcW w:w="524" w:type="pct"/>
            <w:tcBorders>
              <w:top w:val="single" w:color="000000" w:sz="4" w:space="0"/>
              <w:left w:val="single" w:color="000000" w:sz="4" w:space="0"/>
              <w:bottom w:val="single" w:color="000000" w:sz="4" w:space="0"/>
              <w:right w:val="single" w:color="000000" w:sz="4" w:space="0"/>
            </w:tcBorders>
            <w:noWrap w:val="0"/>
            <w:vAlign w:val="center"/>
          </w:tcPr>
          <w:p w14:paraId="76F1EA28">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宋体" w:hAnsi="宋体" w:cs="宋体"/>
                <w:sz w:val="28"/>
                <w:szCs w:val="28"/>
              </w:rPr>
            </w:pPr>
            <w:r>
              <w:rPr>
                <w:rFonts w:hint="eastAsia" w:ascii="宋体" w:hAnsi="宋体" w:cs="宋体"/>
                <w:sz w:val="28"/>
                <w:szCs w:val="28"/>
                <w:lang w:bidi="ar"/>
              </w:rPr>
              <w:t>1</w:t>
            </w:r>
          </w:p>
        </w:tc>
        <w:tc>
          <w:tcPr>
            <w:tcW w:w="1756" w:type="pct"/>
            <w:tcBorders>
              <w:top w:val="single" w:color="000000" w:sz="4" w:space="0"/>
              <w:left w:val="single" w:color="000000" w:sz="4" w:space="0"/>
              <w:bottom w:val="single" w:color="000000" w:sz="4" w:space="0"/>
              <w:right w:val="single" w:color="000000" w:sz="4" w:space="0"/>
            </w:tcBorders>
            <w:noWrap w:val="0"/>
            <w:vAlign w:val="center"/>
          </w:tcPr>
          <w:p w14:paraId="1E437A48">
            <w:pPr>
              <w:keepNext w:val="0"/>
              <w:keepLines w:val="0"/>
              <w:pageBreakBefore w:val="0"/>
              <w:widowControl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纳税人未按照规定的</w:t>
            </w:r>
            <w:r>
              <w:rPr>
                <w:rFonts w:hint="eastAsia" w:ascii="仿宋_GB2312" w:hAnsi="仿宋_GB2312" w:eastAsia="仿宋_GB2312" w:cs="仿宋_GB2312"/>
                <w:color w:val="auto"/>
                <w:sz w:val="32"/>
                <w:szCs w:val="32"/>
                <w:lang w:bidi="ar"/>
              </w:rPr>
              <w:t>期限</w:t>
            </w:r>
            <w:r>
              <w:rPr>
                <w:rFonts w:hint="eastAsia" w:ascii="仿宋_GB2312" w:hAnsi="仿宋_GB2312" w:eastAsia="仿宋_GB2312" w:cs="仿宋_GB2312"/>
                <w:color w:val="auto"/>
                <w:sz w:val="32"/>
                <w:szCs w:val="32"/>
                <w:lang w:eastAsia="zh-CN" w:bidi="ar"/>
              </w:rPr>
              <w:t>申报</w:t>
            </w:r>
            <w:r>
              <w:rPr>
                <w:rFonts w:hint="eastAsia" w:ascii="仿宋_GB2312" w:hAnsi="仿宋_GB2312" w:eastAsia="仿宋_GB2312" w:cs="仿宋_GB2312"/>
                <w:color w:val="auto"/>
                <w:sz w:val="32"/>
                <w:szCs w:val="32"/>
                <w:lang w:bidi="ar"/>
              </w:rPr>
              <w:t>办理</w:t>
            </w:r>
            <w:r>
              <w:rPr>
                <w:rFonts w:hint="eastAsia" w:ascii="仿宋_GB2312" w:hAnsi="仿宋_GB2312" w:eastAsia="仿宋_GB2312" w:cs="仿宋_GB2312"/>
                <w:sz w:val="32"/>
                <w:szCs w:val="32"/>
                <w:lang w:bidi="ar"/>
              </w:rPr>
              <w:t>税务登记或者注销登记</w:t>
            </w:r>
          </w:p>
        </w:tc>
        <w:tc>
          <w:tcPr>
            <w:tcW w:w="2718" w:type="pct"/>
            <w:tcBorders>
              <w:top w:val="single" w:color="000000" w:sz="4" w:space="0"/>
              <w:left w:val="single" w:color="000000" w:sz="4" w:space="0"/>
              <w:bottom w:val="single" w:color="000000" w:sz="4" w:space="0"/>
              <w:right w:val="single" w:color="000000" w:sz="4" w:space="0"/>
            </w:tcBorders>
            <w:noWrap w:val="0"/>
            <w:vAlign w:val="center"/>
          </w:tcPr>
          <w:p w14:paraId="21704A20">
            <w:pPr>
              <w:keepNext w:val="0"/>
              <w:keepLines w:val="0"/>
              <w:pageBreakBefore w:val="0"/>
              <w:widowControl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在税务机关发现前主动改正或者在税务机关责令限期改正的期限内改正，且没有造成危害后果的。</w:t>
            </w:r>
          </w:p>
        </w:tc>
      </w:tr>
      <w:tr w14:paraId="309A5EF2">
        <w:tblPrEx>
          <w:tblCellMar>
            <w:top w:w="0" w:type="dxa"/>
            <w:left w:w="108" w:type="dxa"/>
            <w:bottom w:w="0" w:type="dxa"/>
            <w:right w:w="108" w:type="dxa"/>
          </w:tblCellMar>
        </w:tblPrEx>
        <w:trPr>
          <w:trHeight w:val="1240" w:hRule="atLeast"/>
          <w:jc w:val="center"/>
        </w:trPr>
        <w:tc>
          <w:tcPr>
            <w:tcW w:w="524" w:type="pct"/>
            <w:tcBorders>
              <w:top w:val="single" w:color="000000" w:sz="4" w:space="0"/>
              <w:left w:val="single" w:color="000000" w:sz="4" w:space="0"/>
              <w:bottom w:val="single" w:color="000000" w:sz="4" w:space="0"/>
              <w:right w:val="single" w:color="000000" w:sz="4" w:space="0"/>
            </w:tcBorders>
            <w:noWrap w:val="0"/>
            <w:vAlign w:val="center"/>
          </w:tcPr>
          <w:p w14:paraId="44DE8B9D">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宋体" w:hAnsi="宋体" w:cs="宋体"/>
                <w:sz w:val="28"/>
                <w:szCs w:val="28"/>
              </w:rPr>
            </w:pPr>
            <w:r>
              <w:rPr>
                <w:rFonts w:hint="eastAsia" w:ascii="宋体" w:hAnsi="宋体" w:cs="宋体"/>
                <w:sz w:val="28"/>
                <w:szCs w:val="28"/>
                <w:lang w:bidi="ar"/>
              </w:rPr>
              <w:t>2</w:t>
            </w:r>
          </w:p>
        </w:tc>
        <w:tc>
          <w:tcPr>
            <w:tcW w:w="1756" w:type="pct"/>
            <w:tcBorders>
              <w:top w:val="single" w:color="000000" w:sz="4" w:space="0"/>
              <w:left w:val="single" w:color="000000" w:sz="4" w:space="0"/>
              <w:bottom w:val="single" w:color="000000" w:sz="4" w:space="0"/>
              <w:right w:val="single" w:color="000000" w:sz="4" w:space="0"/>
            </w:tcBorders>
            <w:noWrap w:val="0"/>
            <w:vAlign w:val="center"/>
          </w:tcPr>
          <w:p w14:paraId="4877D472">
            <w:pPr>
              <w:keepNext w:val="0"/>
              <w:keepLines w:val="0"/>
              <w:pageBreakBefore w:val="0"/>
              <w:widowControl w:val="0"/>
              <w:kinsoku/>
              <w:wordWrap/>
              <w:overflowPunct/>
              <w:topLinePunct w:val="0"/>
              <w:autoSpaceDE/>
              <w:autoSpaceDN/>
              <w:bidi w:val="0"/>
              <w:adjustRightInd/>
              <w:snapToGrid/>
              <w:spacing w:line="560" w:lineRule="exact"/>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纳税人未按照规定的期限变更税务登记</w:t>
            </w:r>
          </w:p>
        </w:tc>
        <w:tc>
          <w:tcPr>
            <w:tcW w:w="2718" w:type="pct"/>
            <w:tcBorders>
              <w:top w:val="single" w:color="000000" w:sz="4" w:space="0"/>
              <w:left w:val="single" w:color="000000" w:sz="4" w:space="0"/>
              <w:bottom w:val="single" w:color="000000" w:sz="4" w:space="0"/>
              <w:right w:val="single" w:color="000000" w:sz="4" w:space="0"/>
            </w:tcBorders>
            <w:noWrap w:val="0"/>
            <w:vAlign w:val="center"/>
          </w:tcPr>
          <w:p w14:paraId="5255899D">
            <w:pPr>
              <w:keepNext w:val="0"/>
              <w:keepLines w:val="0"/>
              <w:pageBreakBefore w:val="0"/>
              <w:widowControl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在税务机关发现前主动改正或者在税务机关责令限期改正的期限内改正，且没有造成危害后果的。</w:t>
            </w:r>
          </w:p>
        </w:tc>
      </w:tr>
      <w:tr w14:paraId="04D0AA71">
        <w:tblPrEx>
          <w:tblCellMar>
            <w:top w:w="0" w:type="dxa"/>
            <w:left w:w="108" w:type="dxa"/>
            <w:bottom w:w="0" w:type="dxa"/>
            <w:right w:w="108" w:type="dxa"/>
          </w:tblCellMar>
        </w:tblPrEx>
        <w:trPr>
          <w:trHeight w:val="2186" w:hRule="atLeast"/>
          <w:jc w:val="center"/>
        </w:trPr>
        <w:tc>
          <w:tcPr>
            <w:tcW w:w="524" w:type="pct"/>
            <w:tcBorders>
              <w:top w:val="single" w:color="000000" w:sz="4" w:space="0"/>
              <w:left w:val="single" w:color="000000" w:sz="4" w:space="0"/>
              <w:bottom w:val="single" w:color="000000" w:sz="4" w:space="0"/>
              <w:right w:val="single" w:color="000000" w:sz="4" w:space="0"/>
            </w:tcBorders>
            <w:noWrap w:val="0"/>
            <w:vAlign w:val="center"/>
          </w:tcPr>
          <w:p w14:paraId="15059DDA">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宋体" w:hAnsi="宋体" w:cs="宋体"/>
                <w:sz w:val="28"/>
                <w:szCs w:val="28"/>
              </w:rPr>
            </w:pPr>
            <w:r>
              <w:rPr>
                <w:rFonts w:hint="eastAsia" w:ascii="宋体" w:hAnsi="宋体" w:cs="宋体"/>
                <w:sz w:val="28"/>
                <w:szCs w:val="28"/>
                <w:lang w:bidi="ar"/>
              </w:rPr>
              <w:t>3</w:t>
            </w:r>
          </w:p>
        </w:tc>
        <w:tc>
          <w:tcPr>
            <w:tcW w:w="1756" w:type="pct"/>
            <w:tcBorders>
              <w:top w:val="single" w:color="000000" w:sz="4" w:space="0"/>
              <w:left w:val="single" w:color="000000" w:sz="4" w:space="0"/>
              <w:bottom w:val="single" w:color="000000" w:sz="4" w:space="0"/>
              <w:right w:val="single" w:color="000000" w:sz="4" w:space="0"/>
            </w:tcBorders>
            <w:noWrap w:val="0"/>
            <w:vAlign w:val="center"/>
          </w:tcPr>
          <w:p w14:paraId="3A64DFAE">
            <w:pPr>
              <w:keepNext w:val="0"/>
              <w:keepLines w:val="0"/>
              <w:pageBreakBefore w:val="0"/>
              <w:widowControl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纳税人不办理税务登记</w:t>
            </w:r>
          </w:p>
        </w:tc>
        <w:tc>
          <w:tcPr>
            <w:tcW w:w="2718" w:type="pct"/>
            <w:tcBorders>
              <w:top w:val="single" w:color="000000" w:sz="4" w:space="0"/>
              <w:left w:val="single" w:color="000000" w:sz="4" w:space="0"/>
              <w:bottom w:val="single" w:color="000000" w:sz="4" w:space="0"/>
              <w:right w:val="single" w:color="000000" w:sz="4" w:space="0"/>
            </w:tcBorders>
            <w:noWrap w:val="0"/>
            <w:vAlign w:val="center"/>
          </w:tcPr>
          <w:p w14:paraId="13D7DB92">
            <w:pPr>
              <w:keepNext w:val="0"/>
              <w:keepLines w:val="0"/>
              <w:pageBreakBefore w:val="0"/>
              <w:widowControl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在税务机关发现前主动改正或者在税务机关责令限期改正的期限内改正，且没有造成危害后果的。</w:t>
            </w:r>
          </w:p>
        </w:tc>
      </w:tr>
      <w:tr w14:paraId="76CA640A">
        <w:tblPrEx>
          <w:tblCellMar>
            <w:top w:w="0" w:type="dxa"/>
            <w:left w:w="108" w:type="dxa"/>
            <w:bottom w:w="0" w:type="dxa"/>
            <w:right w:w="108" w:type="dxa"/>
          </w:tblCellMar>
        </w:tblPrEx>
        <w:trPr>
          <w:trHeight w:val="500" w:hRule="atLeast"/>
          <w:jc w:val="center"/>
        </w:trPr>
        <w:tc>
          <w:tcPr>
            <w:tcW w:w="524" w:type="pct"/>
            <w:tcBorders>
              <w:top w:val="single" w:color="000000" w:sz="4" w:space="0"/>
              <w:left w:val="single" w:color="000000" w:sz="4" w:space="0"/>
              <w:bottom w:val="single" w:color="000000" w:sz="4" w:space="0"/>
              <w:right w:val="single" w:color="000000" w:sz="4" w:space="0"/>
            </w:tcBorders>
            <w:noWrap w:val="0"/>
            <w:vAlign w:val="center"/>
          </w:tcPr>
          <w:p w14:paraId="17C9D096">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宋体" w:hAnsi="宋体" w:cs="宋体"/>
                <w:sz w:val="28"/>
                <w:szCs w:val="28"/>
              </w:rPr>
            </w:pPr>
            <w:r>
              <w:rPr>
                <w:rFonts w:hint="eastAsia" w:ascii="宋体" w:hAnsi="宋体" w:cs="宋体"/>
                <w:sz w:val="28"/>
                <w:szCs w:val="28"/>
                <w:lang w:bidi="ar"/>
              </w:rPr>
              <w:t>4</w:t>
            </w:r>
          </w:p>
        </w:tc>
        <w:tc>
          <w:tcPr>
            <w:tcW w:w="1756" w:type="pct"/>
            <w:tcBorders>
              <w:top w:val="single" w:color="000000" w:sz="4" w:space="0"/>
              <w:left w:val="single" w:color="000000" w:sz="4" w:space="0"/>
              <w:bottom w:val="single" w:color="000000" w:sz="4" w:space="0"/>
              <w:right w:val="single" w:color="000000" w:sz="4" w:space="0"/>
            </w:tcBorders>
            <w:noWrap/>
            <w:vAlign w:val="center"/>
          </w:tcPr>
          <w:p w14:paraId="225E70D0">
            <w:pPr>
              <w:keepNext w:val="0"/>
              <w:keepLines w:val="0"/>
              <w:pageBreakBefore w:val="0"/>
              <w:widowControl w:val="0"/>
              <w:kinsoku/>
              <w:wordWrap/>
              <w:overflowPunct/>
              <w:topLinePunct w:val="0"/>
              <w:autoSpaceDE/>
              <w:autoSpaceDN/>
              <w:bidi w:val="0"/>
              <w:adjustRightInd/>
              <w:snapToGrid/>
              <w:spacing w:line="560" w:lineRule="exact"/>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扣缴义务人未按照规定办理扣缴税款登记</w:t>
            </w:r>
          </w:p>
        </w:tc>
        <w:tc>
          <w:tcPr>
            <w:tcW w:w="2718" w:type="pct"/>
            <w:tcBorders>
              <w:top w:val="single" w:color="000000" w:sz="4" w:space="0"/>
              <w:left w:val="single" w:color="000000" w:sz="4" w:space="0"/>
              <w:bottom w:val="single" w:color="000000" w:sz="4" w:space="0"/>
              <w:right w:val="single" w:color="000000" w:sz="4" w:space="0"/>
            </w:tcBorders>
            <w:noWrap w:val="0"/>
            <w:vAlign w:val="center"/>
          </w:tcPr>
          <w:p w14:paraId="6BD768EA">
            <w:pPr>
              <w:keepNext w:val="0"/>
              <w:keepLines w:val="0"/>
              <w:pageBreakBefore w:val="0"/>
              <w:widowControl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在税务机关发现前主动改正或者在税务机关责令限期改正的期限内改正，且没有造成危害后果的。</w:t>
            </w:r>
          </w:p>
        </w:tc>
      </w:tr>
      <w:tr w14:paraId="63891994">
        <w:tblPrEx>
          <w:tblCellMar>
            <w:top w:w="0" w:type="dxa"/>
            <w:left w:w="108" w:type="dxa"/>
            <w:bottom w:w="0" w:type="dxa"/>
            <w:right w:w="108" w:type="dxa"/>
          </w:tblCellMar>
        </w:tblPrEx>
        <w:trPr>
          <w:trHeight w:val="1880" w:hRule="atLeast"/>
          <w:jc w:val="center"/>
        </w:trPr>
        <w:tc>
          <w:tcPr>
            <w:tcW w:w="524" w:type="pct"/>
            <w:tcBorders>
              <w:top w:val="single" w:color="000000" w:sz="4" w:space="0"/>
              <w:left w:val="single" w:color="000000" w:sz="4" w:space="0"/>
              <w:bottom w:val="single" w:color="000000" w:sz="4" w:space="0"/>
              <w:right w:val="single" w:color="000000" w:sz="4" w:space="0"/>
            </w:tcBorders>
            <w:noWrap w:val="0"/>
            <w:vAlign w:val="center"/>
          </w:tcPr>
          <w:p w14:paraId="1865C1A1">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宋体" w:hAnsi="宋体" w:cs="宋体"/>
                <w:sz w:val="28"/>
                <w:szCs w:val="28"/>
              </w:rPr>
            </w:pPr>
            <w:r>
              <w:rPr>
                <w:rFonts w:hint="eastAsia" w:ascii="宋体" w:hAnsi="宋体" w:cs="宋体"/>
                <w:sz w:val="28"/>
                <w:szCs w:val="28"/>
                <w:lang w:bidi="ar"/>
              </w:rPr>
              <w:t>5</w:t>
            </w:r>
          </w:p>
        </w:tc>
        <w:tc>
          <w:tcPr>
            <w:tcW w:w="1756" w:type="pct"/>
            <w:tcBorders>
              <w:top w:val="single" w:color="000000" w:sz="4" w:space="0"/>
              <w:left w:val="single" w:color="000000" w:sz="4" w:space="0"/>
              <w:bottom w:val="single" w:color="000000" w:sz="4" w:space="0"/>
              <w:right w:val="single" w:color="000000" w:sz="4" w:space="0"/>
            </w:tcBorders>
            <w:noWrap w:val="0"/>
            <w:vAlign w:val="center"/>
          </w:tcPr>
          <w:p w14:paraId="5D2B9B92">
            <w:pPr>
              <w:keepNext w:val="0"/>
              <w:keepLines w:val="0"/>
              <w:pageBreakBefore w:val="0"/>
              <w:widowControl w:val="0"/>
              <w:kinsoku/>
              <w:wordWrap/>
              <w:overflowPunct/>
              <w:topLinePunct w:val="0"/>
              <w:autoSpaceDE/>
              <w:autoSpaceDN/>
              <w:bidi w:val="0"/>
              <w:adjustRightInd/>
              <w:snapToGrid/>
              <w:spacing w:line="560" w:lineRule="exact"/>
              <w:textAlignment w:val="center"/>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lang w:bidi="ar"/>
              </w:rPr>
              <w:t>纳税人未按</w:t>
            </w:r>
            <w:r>
              <w:rPr>
                <w:rFonts w:hint="eastAsia" w:ascii="仿宋_GB2312" w:hAnsi="仿宋_GB2312" w:eastAsia="仿宋_GB2312" w:cs="仿宋_GB2312"/>
                <w:color w:val="auto"/>
                <w:sz w:val="32"/>
                <w:szCs w:val="32"/>
                <w:lang w:eastAsia="zh-CN" w:bidi="ar"/>
              </w:rPr>
              <w:t>照</w:t>
            </w:r>
            <w:r>
              <w:rPr>
                <w:rFonts w:hint="eastAsia" w:ascii="仿宋_GB2312" w:hAnsi="仿宋_GB2312" w:eastAsia="仿宋_GB2312" w:cs="仿宋_GB2312"/>
                <w:color w:val="auto"/>
                <w:sz w:val="32"/>
                <w:szCs w:val="32"/>
                <w:lang w:bidi="ar"/>
              </w:rPr>
              <w:t>规</w:t>
            </w:r>
            <w:r>
              <w:rPr>
                <w:rFonts w:hint="eastAsia" w:ascii="仿宋_GB2312" w:hAnsi="仿宋_GB2312" w:eastAsia="仿宋_GB2312" w:cs="仿宋_GB2312"/>
                <w:sz w:val="32"/>
                <w:szCs w:val="32"/>
                <w:lang w:bidi="ar"/>
              </w:rPr>
              <w:t>定安装、使用税控装置</w:t>
            </w:r>
          </w:p>
        </w:tc>
        <w:tc>
          <w:tcPr>
            <w:tcW w:w="2718" w:type="pct"/>
            <w:tcBorders>
              <w:top w:val="single" w:color="000000" w:sz="4" w:space="0"/>
              <w:left w:val="single" w:color="000000" w:sz="4" w:space="0"/>
              <w:bottom w:val="single" w:color="000000" w:sz="4" w:space="0"/>
              <w:right w:val="single" w:color="000000" w:sz="4" w:space="0"/>
            </w:tcBorders>
            <w:noWrap w:val="0"/>
            <w:vAlign w:val="center"/>
          </w:tcPr>
          <w:p w14:paraId="13D68510">
            <w:pPr>
              <w:keepNext w:val="0"/>
              <w:keepLines w:val="0"/>
              <w:pageBreakBefore w:val="0"/>
              <w:widowControl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在税务机关发现前主动改正或者在税务机关责令限期改正的期限内改正，且没有造成危害后果的。</w:t>
            </w:r>
          </w:p>
        </w:tc>
      </w:tr>
      <w:tr w14:paraId="3DD4211F">
        <w:tblPrEx>
          <w:tblCellMar>
            <w:top w:w="0" w:type="dxa"/>
            <w:left w:w="108" w:type="dxa"/>
            <w:bottom w:w="0" w:type="dxa"/>
            <w:right w:w="108" w:type="dxa"/>
          </w:tblCellMar>
        </w:tblPrEx>
        <w:trPr>
          <w:trHeight w:val="1240" w:hRule="atLeast"/>
          <w:jc w:val="center"/>
        </w:trPr>
        <w:tc>
          <w:tcPr>
            <w:tcW w:w="524" w:type="pct"/>
            <w:tcBorders>
              <w:top w:val="single" w:color="000000" w:sz="4" w:space="0"/>
              <w:left w:val="single" w:color="000000" w:sz="4" w:space="0"/>
              <w:bottom w:val="single" w:color="000000" w:sz="4" w:space="0"/>
              <w:right w:val="single" w:color="000000" w:sz="4" w:space="0"/>
            </w:tcBorders>
            <w:noWrap w:val="0"/>
            <w:vAlign w:val="center"/>
          </w:tcPr>
          <w:p w14:paraId="19F27032">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sz w:val="28"/>
                <w:szCs w:val="28"/>
                <w:lang w:val="en-US" w:eastAsia="zh-CN"/>
              </w:rPr>
            </w:pPr>
            <w:r>
              <w:rPr>
                <w:rFonts w:hint="eastAsia" w:ascii="宋体" w:hAnsi="宋体" w:cs="宋体"/>
                <w:sz w:val="28"/>
                <w:szCs w:val="28"/>
                <w:lang w:val="en-US" w:eastAsia="zh-CN"/>
              </w:rPr>
              <w:t>6</w:t>
            </w:r>
          </w:p>
        </w:tc>
        <w:tc>
          <w:tcPr>
            <w:tcW w:w="1756" w:type="pct"/>
            <w:tcBorders>
              <w:top w:val="single" w:color="000000" w:sz="4" w:space="0"/>
              <w:left w:val="single" w:color="000000" w:sz="4" w:space="0"/>
              <w:bottom w:val="single" w:color="000000" w:sz="4" w:space="0"/>
              <w:right w:val="single" w:color="000000" w:sz="4" w:space="0"/>
            </w:tcBorders>
            <w:noWrap w:val="0"/>
            <w:vAlign w:val="center"/>
          </w:tcPr>
          <w:p w14:paraId="3BDDA065">
            <w:pPr>
              <w:keepNext w:val="0"/>
              <w:keepLines w:val="0"/>
              <w:pageBreakBefore w:val="0"/>
              <w:widowControl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未按照规定存放和保管发票</w:t>
            </w:r>
          </w:p>
        </w:tc>
        <w:tc>
          <w:tcPr>
            <w:tcW w:w="2718" w:type="pct"/>
            <w:tcBorders>
              <w:top w:val="single" w:color="000000" w:sz="4" w:space="0"/>
              <w:left w:val="single" w:color="000000" w:sz="4" w:space="0"/>
              <w:bottom w:val="single" w:color="000000" w:sz="4" w:space="0"/>
              <w:right w:val="single" w:color="000000" w:sz="4" w:space="0"/>
            </w:tcBorders>
            <w:noWrap w:val="0"/>
            <w:vAlign w:val="center"/>
          </w:tcPr>
          <w:p w14:paraId="0FD62F69">
            <w:pPr>
              <w:keepNext w:val="0"/>
              <w:keepLines w:val="0"/>
              <w:pageBreakBefore w:val="0"/>
              <w:widowControl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涉及发票25份以下，并在税务机关发现前主动改正或者在税务机关责令限期改正的期限内改正，且没有造成危害后果的。</w:t>
            </w:r>
          </w:p>
        </w:tc>
      </w:tr>
      <w:tr w14:paraId="17EFA7F8">
        <w:tblPrEx>
          <w:tblCellMar>
            <w:top w:w="0" w:type="dxa"/>
            <w:left w:w="108" w:type="dxa"/>
            <w:bottom w:w="0" w:type="dxa"/>
            <w:right w:w="108" w:type="dxa"/>
          </w:tblCellMar>
        </w:tblPrEx>
        <w:trPr>
          <w:trHeight w:val="1240" w:hRule="atLeast"/>
          <w:jc w:val="center"/>
        </w:trPr>
        <w:tc>
          <w:tcPr>
            <w:tcW w:w="524" w:type="pct"/>
            <w:tcBorders>
              <w:top w:val="single" w:color="000000" w:sz="4" w:space="0"/>
              <w:left w:val="single" w:color="000000" w:sz="4" w:space="0"/>
              <w:bottom w:val="single" w:color="000000" w:sz="4" w:space="0"/>
              <w:right w:val="single" w:color="000000" w:sz="4" w:space="0"/>
            </w:tcBorders>
            <w:noWrap w:val="0"/>
            <w:vAlign w:val="center"/>
          </w:tcPr>
          <w:p w14:paraId="30E58B33">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sz w:val="28"/>
                <w:szCs w:val="28"/>
                <w:lang w:eastAsia="zh-CN"/>
              </w:rPr>
            </w:pPr>
            <w:r>
              <w:rPr>
                <w:rFonts w:hint="eastAsia" w:ascii="宋体" w:hAnsi="宋体" w:cs="宋体"/>
                <w:sz w:val="28"/>
                <w:szCs w:val="28"/>
                <w:lang w:val="en-US" w:eastAsia="zh-CN"/>
              </w:rPr>
              <w:t>7</w:t>
            </w:r>
          </w:p>
        </w:tc>
        <w:tc>
          <w:tcPr>
            <w:tcW w:w="1756" w:type="pct"/>
            <w:tcBorders>
              <w:top w:val="single" w:color="000000" w:sz="4" w:space="0"/>
              <w:left w:val="single" w:color="000000" w:sz="4" w:space="0"/>
              <w:bottom w:val="single" w:color="000000" w:sz="4" w:space="0"/>
              <w:right w:val="single" w:color="000000" w:sz="4" w:space="0"/>
            </w:tcBorders>
            <w:noWrap w:val="0"/>
            <w:vAlign w:val="center"/>
          </w:tcPr>
          <w:p w14:paraId="46C64B1B">
            <w:pPr>
              <w:keepNext w:val="0"/>
              <w:keepLines w:val="0"/>
              <w:pageBreakBefore w:val="0"/>
              <w:widowControl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丢失发票</w:t>
            </w:r>
          </w:p>
        </w:tc>
        <w:tc>
          <w:tcPr>
            <w:tcW w:w="2718" w:type="pct"/>
            <w:tcBorders>
              <w:top w:val="single" w:color="000000" w:sz="4" w:space="0"/>
              <w:left w:val="single" w:color="000000" w:sz="4" w:space="0"/>
              <w:bottom w:val="single" w:color="000000" w:sz="4" w:space="0"/>
              <w:right w:val="single" w:color="000000" w:sz="4" w:space="0"/>
            </w:tcBorders>
            <w:noWrap w:val="0"/>
            <w:vAlign w:val="center"/>
          </w:tcPr>
          <w:p w14:paraId="7510B0B4">
            <w:pPr>
              <w:keepNext w:val="0"/>
              <w:keepLines w:val="0"/>
              <w:pageBreakBefore w:val="0"/>
              <w:widowControl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丢失的发票属于已明文规定失效、开票系统已实际停止使用或者纳入信息化管理（包括发票信息已上传或者在线上开具）的发票等，主动向税务机关报告并采取补救措施，且没有造成危害后果的。</w:t>
            </w:r>
          </w:p>
        </w:tc>
      </w:tr>
      <w:tr w14:paraId="62B05874">
        <w:tblPrEx>
          <w:tblCellMar>
            <w:top w:w="0" w:type="dxa"/>
            <w:left w:w="108" w:type="dxa"/>
            <w:bottom w:w="0" w:type="dxa"/>
            <w:right w:w="108" w:type="dxa"/>
          </w:tblCellMar>
        </w:tblPrEx>
        <w:trPr>
          <w:trHeight w:val="1240" w:hRule="atLeast"/>
          <w:jc w:val="center"/>
        </w:trPr>
        <w:tc>
          <w:tcPr>
            <w:tcW w:w="524" w:type="pct"/>
            <w:tcBorders>
              <w:top w:val="single" w:color="000000" w:sz="4" w:space="0"/>
              <w:left w:val="single" w:color="000000" w:sz="4" w:space="0"/>
              <w:bottom w:val="single" w:color="000000" w:sz="4" w:space="0"/>
              <w:right w:val="single" w:color="000000" w:sz="4" w:space="0"/>
            </w:tcBorders>
            <w:noWrap w:val="0"/>
            <w:vAlign w:val="center"/>
          </w:tcPr>
          <w:p w14:paraId="4DB84973">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sz w:val="28"/>
                <w:szCs w:val="28"/>
                <w:lang w:eastAsia="zh-CN"/>
              </w:rPr>
            </w:pPr>
            <w:r>
              <w:rPr>
                <w:rFonts w:hint="eastAsia" w:ascii="宋体" w:hAnsi="宋体" w:cs="宋体"/>
                <w:sz w:val="28"/>
                <w:szCs w:val="28"/>
                <w:lang w:val="en-US" w:eastAsia="zh-CN"/>
              </w:rPr>
              <w:t>8</w:t>
            </w:r>
          </w:p>
        </w:tc>
        <w:tc>
          <w:tcPr>
            <w:tcW w:w="1756" w:type="pct"/>
            <w:tcBorders>
              <w:top w:val="single" w:color="000000" w:sz="4" w:space="0"/>
              <w:left w:val="single" w:color="000000" w:sz="4" w:space="0"/>
              <w:bottom w:val="single" w:color="000000" w:sz="4" w:space="0"/>
              <w:right w:val="single" w:color="000000" w:sz="4" w:space="0"/>
            </w:tcBorders>
            <w:noWrap w:val="0"/>
            <w:vAlign w:val="center"/>
          </w:tcPr>
          <w:p w14:paraId="19F03123">
            <w:pPr>
              <w:keepNext w:val="0"/>
              <w:keepLines w:val="0"/>
              <w:pageBreakBefore w:val="0"/>
              <w:widowControl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sz w:val="32"/>
                <w:szCs w:val="32"/>
                <w:lang w:bidi="ar"/>
              </w:rPr>
            </w:pPr>
            <w:r>
              <w:rPr>
                <w:rFonts w:hint="eastAsia" w:ascii="仿宋_GB2312" w:hAnsi="仿宋_GB2312" w:eastAsia="仿宋_GB2312" w:cs="仿宋_GB2312"/>
                <w:sz w:val="32"/>
                <w:szCs w:val="32"/>
                <w:lang w:bidi="ar"/>
              </w:rPr>
              <w:t>互联网平台企业未按规定报送涉税信息</w:t>
            </w:r>
          </w:p>
        </w:tc>
        <w:tc>
          <w:tcPr>
            <w:tcW w:w="2718" w:type="pct"/>
            <w:tcBorders>
              <w:top w:val="single" w:color="000000" w:sz="4" w:space="0"/>
              <w:left w:val="single" w:color="000000" w:sz="4" w:space="0"/>
              <w:bottom w:val="single" w:color="000000" w:sz="4" w:space="0"/>
              <w:right w:val="single" w:color="000000" w:sz="4" w:space="0"/>
            </w:tcBorders>
            <w:noWrap w:val="0"/>
            <w:vAlign w:val="center"/>
          </w:tcPr>
          <w:p w14:paraId="059B5605">
            <w:pPr>
              <w:keepNext w:val="0"/>
              <w:keepLines w:val="0"/>
              <w:pageBreakBefore w:val="0"/>
              <w:widowControl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sz w:val="32"/>
                <w:szCs w:val="32"/>
                <w:lang w:bidi="ar"/>
              </w:rPr>
            </w:pPr>
            <w:r>
              <w:rPr>
                <w:rFonts w:hint="eastAsia" w:ascii="仿宋_GB2312" w:hAnsi="仿宋_GB2312" w:eastAsia="仿宋_GB2312" w:cs="仿宋_GB2312"/>
                <w:sz w:val="32"/>
                <w:szCs w:val="32"/>
                <w:lang w:bidi="ar"/>
              </w:rPr>
              <w:t>在税务机关发现前主动改正或者在税务机关责令限期改正的期限内改正，且没有造成危害后果的。</w:t>
            </w:r>
          </w:p>
        </w:tc>
      </w:tr>
    </w:tbl>
    <w:p w14:paraId="0A95DE56"/>
    <w:p w14:paraId="36998E8A"/>
    <w:sectPr>
      <w:headerReference r:id="rId3" w:type="default"/>
      <w:footerReference r:id="rId4"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D48B79">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8B3373F">
                          <w:pPr>
                            <w:pStyle w:val="3"/>
                          </w:pPr>
                          <w:r>
                            <w:t xml:space="preserve">— </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r>
                            <w:rPr>
                              <w:rFonts w:hint="eastAsia" w:ascii="宋体" w:hAnsi="宋体" w:eastAsia="宋体" w:cs="宋体"/>
                              <w:sz w:val="24"/>
                              <w:szCs w:val="24"/>
                            </w:rPr>
                            <w:t xml:space="preserve"> </w:t>
                          </w:r>
                          <w:r>
                            <w:t>—</w:t>
                          </w:r>
                        </w:p>
                        <w:p w14:paraId="09468782">
                          <w:pPr>
                            <w:pStyle w:val="3"/>
                            <w:rPr>
                              <w:rFonts w:ascii="宋体" w:hAnsi="宋体" w:eastAsia="宋体"/>
                              <w:sz w:val="28"/>
                            </w:rPr>
                          </w:pP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08B3373F">
                    <w:pPr>
                      <w:pStyle w:val="3"/>
                    </w:pPr>
                    <w:r>
                      <w:t xml:space="preserve">— </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r>
                      <w:rPr>
                        <w:rFonts w:hint="eastAsia" w:ascii="宋体" w:hAnsi="宋体" w:eastAsia="宋体" w:cs="宋体"/>
                        <w:sz w:val="24"/>
                        <w:szCs w:val="24"/>
                      </w:rPr>
                      <w:t xml:space="preserve"> </w:t>
                    </w:r>
                    <w:r>
                      <w:t>—</w:t>
                    </w:r>
                  </w:p>
                  <w:p w14:paraId="09468782">
                    <w:pPr>
                      <w:pStyle w:val="3"/>
                      <w:rPr>
                        <w:rFonts w:ascii="宋体" w:hAnsi="宋体" w:eastAsia="宋体"/>
                        <w:sz w:val="28"/>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36F3B8">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7"/>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971AD9"/>
    <w:rsid w:val="3EEB9C06"/>
    <w:rsid w:val="3FFBE528"/>
    <w:rsid w:val="5B7ECBB1"/>
    <w:rsid w:val="5D7D2B5D"/>
    <w:rsid w:val="5FFFDC6A"/>
    <w:rsid w:val="6AEFA8BF"/>
    <w:rsid w:val="6FBED8ED"/>
    <w:rsid w:val="6FFF5832"/>
    <w:rsid w:val="7462DBBF"/>
    <w:rsid w:val="757FA4BF"/>
    <w:rsid w:val="7B6F0BA3"/>
    <w:rsid w:val="7B971AD9"/>
    <w:rsid w:val="7D7B2FEF"/>
    <w:rsid w:val="7D7FE440"/>
    <w:rsid w:val="7F3D38D8"/>
    <w:rsid w:val="B7FDD4A1"/>
    <w:rsid w:val="BA7E1736"/>
    <w:rsid w:val="BCF0A3E9"/>
    <w:rsid w:val="BFDFFCA3"/>
    <w:rsid w:val="DFDAB6D6"/>
    <w:rsid w:val="DFEB2B26"/>
    <w:rsid w:val="F1F4B61E"/>
    <w:rsid w:val="F7E7281D"/>
    <w:rsid w:val="F97F48D6"/>
    <w:rsid w:val="F9FB1CC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customStyle="1" w:styleId="2">
    <w:name w:val="Normal Indent1"/>
    <w:next w:val="1"/>
    <w:qFormat/>
    <w:uiPriority w:val="0"/>
    <w:pPr>
      <w:spacing w:after="120" w:line="660" w:lineRule="exact"/>
      <w:ind w:firstLine="720" w:firstLineChars="200"/>
    </w:pPr>
    <w:rPr>
      <w:rFonts w:ascii="宋体" w:hAnsi="宋体" w:eastAsia="楷体_GB2312" w:cs="Times New Roman"/>
      <w:sz w:val="36"/>
      <w:szCs w:val="36"/>
      <w:lang w:val="en-US" w:eastAsia="zh-CN"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3.66666666666667</TotalTime>
  <ScaleCrop>false</ScaleCrop>
  <LinksUpToDate>false</LinksUpToDate>
  <CharactersWithSpaces>0</CharactersWithSpaces>
  <Application>WPS Office_12.1.2.24720_F1E327BC-269C-435d-A152-05C5408002CA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2026-09-10T09:08:00Z</dcterms:created>
  <dc:creator>guest</dc:creator>
  <cp:lastModifiedBy>BGS</cp:lastModifiedBy>
  <cp:lastPrinted>2026-09-30T16:26:57Z</cp:lastPrinted>
  <dcterms:modified xsi:type="dcterms:W3CDTF">2026-10-10T09:09:23Z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2052-12.1.2.24720</vt:lpwstr>
  </property>
  <property fmtid="{D5CDD505-2E9C-101B-9397-08002B2CF9AE}" pid="3" name="ICV">
    <vt:lpwstr>5AFFAC42DDF497754390C96A831C4DB4_43</vt:lpwstr>
  </property>
</Properties>
</file>