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/>
        <w:jc w:val="center"/>
        <w:rPr>
          <w:b/>
          <w:bCs/>
          <w:color w:val="333333"/>
          <w:sz w:val="42"/>
          <w:szCs w:val="42"/>
        </w:rPr>
      </w:pPr>
      <w:r>
        <w:rPr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国家税务总局关于修订《涉税专业服务机构信用积分指标体系及积分规则》的公告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b w:val="0"/>
          <w:bCs w:val="0"/>
          <w:color w:val="999999"/>
          <w:sz w:val="30"/>
          <w:szCs w:val="30"/>
        </w:rPr>
      </w:pPr>
      <w:r>
        <w:rPr>
          <w:b w:val="0"/>
          <w:bCs w:val="0"/>
          <w:i w:val="0"/>
          <w:iCs w:val="0"/>
          <w:caps w:val="0"/>
          <w:color w:val="999999"/>
          <w:spacing w:val="0"/>
          <w:sz w:val="30"/>
          <w:szCs w:val="30"/>
          <w:bdr w:val="none" w:color="auto" w:sz="0" w:space="0"/>
        </w:rPr>
        <w:t>国家税务总局公告2020年第17号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480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为深入贯彻落实国务院“放管服”改革要求，优化税收营商环境，促进涉税专业服务行业规范健康发展，国家税务总局修订了《涉税专业服务机构信用积分指标体系及积分规则》，现予以发布，自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日起施行。《涉税专业服务信用评价管理办法（试行）》（国家税务总局公告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号发布，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号修改）的附件《涉税专业服务机构信用积分指标体系及积分规则》同时废止。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特此公告。</w:t>
      </w:r>
      <w:r>
        <w:rPr>
          <w:rFonts w:ascii="MS Gothic" w:hAnsi="MS Gothic" w:eastAsia="MS Gothic" w:cs="MS Gothic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"http://71.17.24.17/uploadfiles/2020/11/11/20201111193244136.pdf" \t "http://71.17.24.17/wjjb/zxwj/202011/_blank"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涉税专业服务机构信用积分指标体系及积分规则.pdf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国家税务总局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2020年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2026-01-12T01:12:58Z</dcterms:created>
  <dc:creator>Administrator</dc:creator>
  <cp:lastModifiedBy>Administrator</cp:lastModifiedBy>
  <dcterms:modified xsi:type="dcterms:W3CDTF">2026-01-12T01:13:04Z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