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Lines="-2147483648" w:beforeAutospacing="0" w:after="300" w:afterLines="-2147483648" w:afterAutospacing="0"/>
        <w:ind w:left="0" w:right="0"/>
        <w:jc w:val="center"/>
        <w:rPr>
          <w:rFonts w:hint="eastAsia" w:ascii="微软雅黑" w:hAnsi="微软雅黑" w:eastAsia="微软雅黑" w:cs="宋体"/>
          <w:b/>
          <w:bCs/>
          <w:color w:val="333333"/>
          <w:kern w:val="36"/>
          <w:sz w:val="42"/>
          <w:szCs w:val="42"/>
          <w:lang w:val="en-US" w:eastAsia="zh-CN" w:bidi="ar-SA"/>
        </w:rPr>
      </w:pPr>
      <w:r>
        <w:rPr>
          <w:rFonts w:hint="eastAsia" w:ascii="微软雅黑" w:hAnsi="微软雅黑" w:eastAsia="微软雅黑" w:cs="宋体"/>
          <w:b/>
          <w:bCs/>
          <w:color w:val="333333"/>
          <w:kern w:val="36"/>
          <w:sz w:val="42"/>
          <w:szCs w:val="42"/>
          <w:lang w:val="en-US" w:eastAsia="zh-CN" w:bidi="ar-SA"/>
        </w:rPr>
        <w:t>财政部 税务总局关于完善增值税期末留抵退税政策的公告</w:t>
      </w:r>
    </w:p>
    <w:p>
      <w:pPr>
        <w:pStyle w:val="3"/>
        <w:keepNext w:val="0"/>
        <w:keepLines w:val="0"/>
        <w:widowControl/>
        <w:suppressLineNumbers w:val="0"/>
        <w:spacing w:before="0" w:beforeAutospacing="0" w:after="300" w:afterAutospacing="0"/>
        <w:ind w:left="0" w:right="0"/>
        <w:jc w:val="center"/>
        <w:rPr>
          <w:b w:val="0"/>
          <w:bCs w:val="0"/>
          <w:color w:val="999999"/>
          <w:sz w:val="30"/>
          <w:szCs w:val="30"/>
        </w:rPr>
      </w:pPr>
      <w:r>
        <w:rPr>
          <w:rFonts w:hint="eastAsia" w:ascii="微软雅黑" w:hAnsi="微软雅黑" w:eastAsia="微软雅黑" w:cs="宋体"/>
          <w:b w:val="0"/>
          <w:bCs w:val="0"/>
          <w:color w:val="999999"/>
          <w:kern w:val="0"/>
          <w:sz w:val="30"/>
          <w:szCs w:val="30"/>
          <w:lang w:val="en-US" w:eastAsia="zh-CN" w:bidi="ar-SA"/>
        </w:rPr>
        <w:t>财政部 税务总局公告2025年第7号</w:t>
      </w:r>
      <w:r>
        <w:rPr>
          <w:b w:val="0"/>
          <w:bCs w:val="0"/>
          <w:color w:val="999999"/>
          <w:sz w:val="30"/>
          <w:szCs w:val="30"/>
          <w:shd w:val="clear" w:fill="FFFFFF"/>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Lines="-2147483648" w:beforeAutospacing="0" w:after="0" w:afterLines="-2147483648" w:afterAutospacing="0"/>
        <w:ind w:left="0" w:right="0"/>
        <w:jc w:val="left"/>
        <w:rPr>
          <w:rFonts w:hint="eastAsia" w:ascii="微软雅黑" w:hAnsi="微软雅黑" w:eastAsia="微软雅黑" w:cs="宋体"/>
          <w:color w:val="999999"/>
          <w:kern w:val="0"/>
          <w:sz w:val="24"/>
          <w:szCs w:val="24"/>
          <w:lang w:val="en-US" w:eastAsia="zh-CN"/>
        </w:rPr>
      </w:pPr>
      <w:r>
        <w:rPr>
          <w:rFonts w:hint="eastAsia" w:ascii="微软雅黑" w:hAnsi="微软雅黑" w:eastAsia="微软雅黑" w:cs="宋体"/>
          <w:color w:val="999999"/>
          <w:kern w:val="0"/>
          <w:sz w:val="24"/>
          <w:szCs w:val="24"/>
          <w:lang w:val="en-US" w:eastAsia="zh-CN"/>
        </w:rPr>
        <w:t>发</w:t>
      </w:r>
      <w:r>
        <w:rPr>
          <w:rFonts w:hint="eastAsia" w:ascii="微软雅黑" w:hAnsi="微软雅黑" w:eastAsia="微软雅黑" w:cs="宋体"/>
          <w:color w:val="999999"/>
          <w:kern w:val="0"/>
          <w:sz w:val="24"/>
          <w:szCs w:val="24"/>
          <w:lang w:val="en-US" w:eastAsia="zh-CN"/>
        </w:rPr>
        <w:t xml:space="preserve">布时间：2025-08-22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Lines="-2147483648" w:beforeAutospacing="0" w:after="0" w:afterLines="-2147483648" w:afterAutospacing="0"/>
        <w:ind w:left="0" w:right="0"/>
        <w:jc w:val="left"/>
        <w:rPr>
          <w:rFonts w:hint="eastAsia" w:ascii="微软雅黑" w:hAnsi="微软雅黑" w:eastAsia="微软雅黑" w:cs="宋体"/>
          <w:color w:val="999999"/>
          <w:kern w:val="0"/>
          <w:sz w:val="24"/>
          <w:szCs w:val="24"/>
          <w:lang w:val="en-US" w:eastAsia="zh-CN"/>
        </w:rPr>
      </w:pPr>
      <w:r>
        <w:rPr>
          <w:rFonts w:hint="eastAsia" w:ascii="微软雅黑" w:hAnsi="微软雅黑" w:eastAsia="微软雅黑" w:cs="宋体"/>
          <w:color w:val="999999"/>
          <w:kern w:val="0"/>
          <w:sz w:val="24"/>
          <w:szCs w:val="24"/>
          <w:lang w:val="en-US" w:eastAsia="zh-CN"/>
        </w:rPr>
        <w:t>来源：国家税务总局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Lines="-2147483648" w:beforeAutospacing="0" w:after="0" w:afterLines="-2147483648" w:afterAutospacing="0"/>
        <w:ind w:left="0" w:right="0"/>
        <w:jc w:val="left"/>
        <w:rPr>
          <w:rFonts w:hint="eastAsia" w:ascii="微软雅黑" w:hAnsi="微软雅黑" w:eastAsia="微软雅黑" w:cs="微软雅黑"/>
          <w:color w:val="999999"/>
          <w:sz w:val="24"/>
          <w:szCs w:val="24"/>
        </w:rPr>
      </w:pPr>
      <w:r>
        <w:rPr>
          <w:rFonts w:hint="eastAsia" w:ascii="微软雅黑" w:hAnsi="微软雅黑" w:eastAsia="微软雅黑" w:cs="宋体"/>
          <w:color w:val="999999"/>
          <w:kern w:val="0"/>
          <w:sz w:val="24"/>
          <w:szCs w:val="24"/>
          <w:lang w:val="en-US" w:eastAsia="zh-CN"/>
        </w:rPr>
        <w:t xml:space="preserve">字号：[大] [中] [小] </w:t>
      </w:r>
      <w:r>
        <w:rPr>
          <w:rFonts w:hint="eastAsia" w:ascii="微软雅黑" w:hAnsi="微软雅黑" w:eastAsia="微软雅黑" w:cs="宋体"/>
          <w:color w:val="999999"/>
          <w:kern w:val="0"/>
          <w:sz w:val="24"/>
          <w:szCs w:val="24"/>
          <w:lang w:val="en-US" w:eastAsia="zh-CN"/>
        </w:rPr>
        <w:fldChar w:fldCharType="begin"/>
      </w:r>
      <w:r>
        <w:rPr>
          <w:rFonts w:hint="eastAsia" w:ascii="微软雅黑" w:hAnsi="微软雅黑" w:eastAsia="微软雅黑" w:cs="宋体"/>
          <w:color w:val="999999"/>
          <w:kern w:val="0"/>
          <w:sz w:val="24"/>
          <w:szCs w:val="24"/>
          <w:lang w:val="en-US" w:eastAsia="zh-CN"/>
        </w:rPr>
        <w:instrText xml:space="preserve"> HYPERLINK "http://71.17.24.17/wjjb/zxwj/202508/javascript:window.print()" </w:instrText>
      </w:r>
      <w:r>
        <w:rPr>
          <w:rFonts w:hint="eastAsia" w:ascii="微软雅黑" w:hAnsi="微软雅黑" w:eastAsia="微软雅黑" w:cs="宋体"/>
          <w:color w:val="999999"/>
          <w:kern w:val="0"/>
          <w:sz w:val="24"/>
          <w:szCs w:val="24"/>
          <w:lang w:val="en-US" w:eastAsia="zh-CN"/>
        </w:rPr>
        <w:fldChar w:fldCharType="separate"/>
      </w:r>
      <w:r>
        <w:rPr>
          <w:rFonts w:hint="eastAsia" w:ascii="微软雅黑" w:hAnsi="微软雅黑" w:eastAsia="微软雅黑" w:cs="宋体"/>
          <w:color w:val="999999"/>
          <w:kern w:val="0"/>
          <w:sz w:val="24"/>
          <w:szCs w:val="24"/>
          <w:lang w:val="en-US" w:eastAsia="zh-CN"/>
        </w:rPr>
        <w:t>打印</w:t>
      </w:r>
      <w:r>
        <w:rPr>
          <w:rFonts w:hint="eastAsia" w:ascii="微软雅黑" w:hAnsi="微软雅黑" w:eastAsia="微软雅黑" w:cs="宋体"/>
          <w:color w:val="999999"/>
          <w:kern w:val="0"/>
          <w:sz w:val="24"/>
          <w:szCs w:val="24"/>
          <w:lang w:val="en-US" w:eastAsia="zh-CN"/>
        </w:rPr>
        <w:fldChar w:fldCharType="end"/>
      </w:r>
      <w:r>
        <w:rPr>
          <w:rFonts w:hint="eastAsia" w:ascii="微软雅黑" w:hAnsi="微软雅黑" w:eastAsia="微软雅黑" w:cs="宋体"/>
          <w:color w:val="999999"/>
          <w:kern w:val="0"/>
          <w:sz w:val="24"/>
          <w:szCs w:val="24"/>
          <w:lang w:val="en-US" w:eastAsia="zh-CN"/>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现将完善增值税期末留抵退税政策有关事项公告如下：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一、自2025年9月增值税纳税申报期起，符合条件的增值税一般纳税人（以下简称纳税人）可以按照以下规定向主管税务机关申请退还期末留抵税额。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（一）“制造业”、“科学研究和技术服务业”、“软件和信息技术服务业”、“生态保护和环境治理业”（以下简称制造业等4个行业）纳税人，可以按月向主管税务机关申请退还期末留抵税额。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二）房地产开发经营业纳税人，与2019年3月31日期末留抵税额相比，申请退税前连续六个月（按季纳税的，连续两个季度，下同）期末新增加留抵税额均大于零，且第六个月（按季纳税的，第二季度，下同）期末新增加留抵税额不低于50万元的，可以向主管税务机关申请退还第六个月期末新增加留抵税额的60%。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三）除制造业等4个行业和房地产开发经营业纳税人以外的其他纳税人，申请退税前连续六个月期末留抵税额均大于零，且第六个月期末留抵税额与申请退税前一税款所属期上一年度12月31日期末留抵税额相比新增加留抵税额不低于50万元的，可以向主管税务机关申请按比例退还新增加留抵税额。新增加留抵税额不超过1亿元的部分（含1亿元），退税比例为60%；超过1亿元的部分，退税比例为30%。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房地产开发经营业纳税人不符合本条第二项规定的，可以按照本条第三项规定申请退还期末留抵税额。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二、适用本公告政策的纳税人需同时符合以下条件：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（一）纳税缴费信用级别为A级或者B级。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（二）申请退税前36个月未发生骗取留抵退税、骗取出口退税或者虚开增值税专用发票情形。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（三）申请退税前36个月未因偷税被税务机关处罚两次及以上。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（四）2019年4月1日起未享受增值税即征即退、先征后返（退）政策，本公告另有规定的除外。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三、本公告所称制造业等4个行业纳税人，是指从事《国民经济行业分类》中“制造业”、“科学研究和技术服务业”、“软件和信息技术服务业”、“生态保护和环境治理业”业务相应发生的增值税销售额占其全部增值税销售额的比重超过50%的纳税人。销售额比重根据纳税人申请退税前连续12个月的销售额计算确定；申请退税前经营期不满12个月但满3个月的，按照实际经营期的销售额计算确定。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四、本公告所称房地产开发经营业纳税人，是指从事《国民经济行业分类》中“房地产开发经营”业务相应发生的增值税销售额及预收款占其全部增值税销售额及预收款的比重超过50%的纳税人。销售额及预收款比重根据纳税人申请退税前连续12个月的销售额及预收款计算确定；申请退税前经营期不满12个月但满3个月的，按照实际经营期的销售额及预收款计算确定。同一计算期间内已经参与比重计算的预收款，不得重复参与增值税销售额的计算。预收款是指采取预售方式销售自行开发的房地产项目收到的款项。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同一计算期间内既取得房地产开发经营业务增值税销售额或预收款，又取得其他业务增值税销售额，且符合本条第一款增值税销售额及预收款比重规定的纳税人，申请退还期末留抵税额时，应当按照本公告第一条第二项、第三项第二款的规定办理。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五、本公告第三条和第四条所称增值税销售额，包括纳税申报销售额、稽查查补销售额、纳税评估调整销售额等；适用增值税差额征税政策的，以差额前的金额确定。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六、税务机关核准纳税人留抵退税申请后，纳税人再次满足本公告规定的退税条件，可以继续向主管税务机关申请退还期末留抵税额，但本公告第一条第二项、第三项规定的连续六个月计算期间，与已核准留抵退税申请不得重复计算。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七、适用本公告政策的纳税人，按照以下公式计算允许退还的留抵税额：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（一）适用本公告第一条第一项政策的，允许退还的留抵税额=当期期末留抵税额×进项构成比例×100%；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（二）适用本公告第一条第二项政策的，允许退还的留抵税额=当期期末留抵税额与2019年3月31日期末留抵税额相比新增加留抵税额×进项构成比例×60%；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三）适用本公告第一条第三项政策的，允许退还的留抵税额=当期期末留抵税额与申请退税前一税款所属期上一年度12月31日期末留抵税额相比新增加留抵税额不超过1亿元的部分×进项构成比例×60%+超过1亿元的部分×进项构成比例×30%。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本条第一项和第二项的进项构成比例，为2019年4月至申请退税前一税款所属期已抵扣的增值税专用发票、海关进口增值税专用缴款书、完税凭证、机动车销售统一发票、收费公路通行费增值税电子普通发票、电子发票（航空运输电子客票行程单）、电子发票（铁路电子客票）等增值税扣税凭证（以下简称七类增值税扣税凭证）注明的增值税额占同期全部已抵扣进项税额的比重。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本条第三项的进项构成比例，为申请退税前一税款所属期当年1月至申请退税前一税款所属期已抵扣的七类增值税扣税凭证注明的增值税额占同期全部已抵扣进项税额的比重。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八、纳税人出口货物或者跨境销售服务、无形资产，适用免抵退税办法的，</w:t>
      </w:r>
      <w:bookmarkStart w:id="0" w:name="_GoBack"/>
      <w:bookmarkEnd w:id="0"/>
      <w:r>
        <w:rPr>
          <w:rFonts w:hint="eastAsia" w:ascii="宋体" w:hAnsi="宋体" w:eastAsia="宋体" w:cs="宋体"/>
          <w:color w:val="333333"/>
          <w:sz w:val="24"/>
          <w:szCs w:val="24"/>
          <w:shd w:val="clear" w:fill="FFFFFF"/>
        </w:rPr>
        <w:t>应当先办理免抵退税，免抵退税办理完毕后，仍符合本公告规定条件的，可以按规定办理留抵退税；适用免退税办法的，对应进项税额不得用于退还留抵税额。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九、纳税人自2019年4月1日起已取得留抵退税款的，不得再申请享受增值税即征即退、先征后返（退）政策。纳税人一次性将已取得的留抵退税款全部缴回后，可以就缴回当月起发生的增值税应税交易按照规定申请享受增值税即征即退、先征后返（退）政策。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纳税人自2019年4月1日起已享受增值税即征即退、先征后返（退）政策的，一次性将已退还的增值税即征即退、先征后返（退）税款全部缴回后，可以自全部缴回次月起按照规定申请退还期末留抵税额。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纳税人按照上述规定全部缴回已退税款后适用留抵退税或者即征即退、先征后返（退）政策的，自全部缴回次月起36个月内不得变更。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十、纳税人可以选择将期末留抵税额结转下期继续抵扣，也可以按照本公告的规定，在符合留抵退税条件的次月增值税纳税申报期内，完成本期增值税纳税申报后，向主管税务机关申请退还期末留抵税额。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税务机关核准纳税人留抵退税申请后，纳税人应当按照核准的留抵退税款相应调减当期留抵税额。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纳税人取得退还的留抵退税款后，如果发现纳税人存在留抵退税政策适用有误的情形，纳税人应当在下个增值税纳税申报期结束前缴回相关留抵退税款。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纳税人以隐匿收入、虚增进项税额、虚假申报或其他欺骗手段骗取留抵退税款的，由税务机关追缴其骗取的退税款，并按照</w:t>
      </w:r>
      <w:r>
        <w:rPr>
          <w:rFonts w:hint="eastAsia" w:ascii="宋体" w:hAnsi="宋体" w:eastAsia="宋体" w:cs="宋体"/>
          <w:color w:val="333333"/>
          <w:sz w:val="24"/>
          <w:szCs w:val="24"/>
          <w:u w:val="none"/>
          <w:shd w:val="clear" w:fill="FFFFFF"/>
        </w:rPr>
        <w:fldChar w:fldCharType="begin"/>
      </w:r>
      <w:r>
        <w:rPr>
          <w:rFonts w:hint="eastAsia" w:ascii="宋体" w:hAnsi="宋体" w:eastAsia="宋体" w:cs="宋体"/>
          <w:color w:val="333333"/>
          <w:sz w:val="24"/>
          <w:szCs w:val="24"/>
          <w:u w:val="none"/>
          <w:shd w:val="clear" w:fill="FFFFFF"/>
        </w:rPr>
        <w:instrText xml:space="preserve"> HYPERLINK "http://100.12.64.172:8888/zcfgknw/c100009/c5195081/content.html" \t "http://71.17.24.17/wjjb/zxwj/202508/_blank" </w:instrText>
      </w:r>
      <w:r>
        <w:rPr>
          <w:rFonts w:hint="eastAsia" w:ascii="宋体" w:hAnsi="宋体" w:eastAsia="宋体" w:cs="宋体"/>
          <w:color w:val="333333"/>
          <w:sz w:val="24"/>
          <w:szCs w:val="24"/>
          <w:u w:val="none"/>
          <w:shd w:val="clear" w:fill="FFFFFF"/>
        </w:rPr>
        <w:fldChar w:fldCharType="separate"/>
      </w:r>
      <w:r>
        <w:rPr>
          <w:rStyle w:val="8"/>
          <w:rFonts w:hint="eastAsia" w:ascii="宋体" w:hAnsi="宋体" w:eastAsia="宋体" w:cs="宋体"/>
          <w:color w:val="333333"/>
          <w:sz w:val="24"/>
          <w:szCs w:val="24"/>
          <w:u w:val="none"/>
          <w:shd w:val="clear" w:fill="FFFFFF"/>
        </w:rPr>
        <w:t>《中华人民共和国税收征收管理法》</w:t>
      </w:r>
      <w:r>
        <w:rPr>
          <w:rFonts w:hint="eastAsia" w:ascii="宋体" w:hAnsi="宋体" w:eastAsia="宋体" w:cs="宋体"/>
          <w:color w:val="333333"/>
          <w:sz w:val="24"/>
          <w:szCs w:val="24"/>
          <w:u w:val="none"/>
          <w:shd w:val="clear" w:fill="FFFFFF"/>
        </w:rPr>
        <w:fldChar w:fldCharType="end"/>
      </w:r>
      <w:r>
        <w:rPr>
          <w:rFonts w:hint="eastAsia" w:ascii="宋体" w:hAnsi="宋体" w:eastAsia="宋体" w:cs="宋体"/>
          <w:color w:val="333333"/>
          <w:sz w:val="24"/>
          <w:szCs w:val="24"/>
          <w:shd w:val="clear" w:fill="FFFFFF"/>
        </w:rPr>
        <w:t>等有关规定处理。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十一、本公告自2025年9月1日起施行。</w:t>
      </w:r>
      <w:r>
        <w:rPr>
          <w:rFonts w:hint="eastAsia" w:ascii="宋体" w:hAnsi="宋体" w:eastAsia="宋体" w:cs="宋体"/>
          <w:color w:val="333333"/>
          <w:sz w:val="24"/>
          <w:szCs w:val="24"/>
          <w:u w:val="none"/>
          <w:shd w:val="clear" w:fill="FFFFFF"/>
        </w:rPr>
        <w:fldChar w:fldCharType="begin"/>
      </w:r>
      <w:r>
        <w:rPr>
          <w:rFonts w:hint="eastAsia" w:ascii="宋体" w:hAnsi="宋体" w:eastAsia="宋体" w:cs="宋体"/>
          <w:color w:val="333333"/>
          <w:sz w:val="24"/>
          <w:szCs w:val="24"/>
          <w:u w:val="none"/>
          <w:shd w:val="clear" w:fill="FFFFFF"/>
        </w:rPr>
        <w:instrText xml:space="preserve"> HYPERLINK "http://100.12.64.172:8888/zcfgknw/c102417/c5202330/content.html" \t "http://71.17.24.17/wjjb/zxwj/202508/_blank" </w:instrText>
      </w:r>
      <w:r>
        <w:rPr>
          <w:rFonts w:hint="eastAsia" w:ascii="宋体" w:hAnsi="宋体" w:eastAsia="宋体" w:cs="宋体"/>
          <w:color w:val="333333"/>
          <w:sz w:val="24"/>
          <w:szCs w:val="24"/>
          <w:u w:val="none"/>
          <w:shd w:val="clear" w:fill="FFFFFF"/>
        </w:rPr>
        <w:fldChar w:fldCharType="separate"/>
      </w:r>
      <w:r>
        <w:rPr>
          <w:rStyle w:val="8"/>
          <w:rFonts w:hint="eastAsia" w:ascii="宋体" w:hAnsi="宋体" w:eastAsia="宋体" w:cs="宋体"/>
          <w:color w:val="333333"/>
          <w:sz w:val="24"/>
          <w:szCs w:val="24"/>
          <w:u w:val="none"/>
          <w:shd w:val="clear" w:fill="FFFFFF"/>
        </w:rPr>
        <w:t>《财政部 税务总局 海关总署关于深化增值税改革有关政策的公告》</w:t>
      </w:r>
      <w:r>
        <w:rPr>
          <w:rFonts w:hint="eastAsia" w:ascii="宋体" w:hAnsi="宋体" w:eastAsia="宋体" w:cs="宋体"/>
          <w:color w:val="333333"/>
          <w:sz w:val="24"/>
          <w:szCs w:val="24"/>
          <w:u w:val="none"/>
          <w:shd w:val="clear" w:fill="FFFFFF"/>
        </w:rPr>
        <w:fldChar w:fldCharType="end"/>
      </w:r>
      <w:r>
        <w:rPr>
          <w:rFonts w:hint="eastAsia" w:ascii="宋体" w:hAnsi="宋体" w:eastAsia="宋体" w:cs="宋体"/>
          <w:color w:val="333333"/>
          <w:sz w:val="24"/>
          <w:szCs w:val="24"/>
          <w:shd w:val="clear" w:fill="FFFFFF"/>
        </w:rPr>
        <w:t>（财政部 税务总局 海关总署公告2019年第39号）第八条、</w:t>
      </w:r>
      <w:r>
        <w:rPr>
          <w:rFonts w:hint="eastAsia" w:ascii="宋体" w:hAnsi="宋体" w:eastAsia="宋体" w:cs="宋体"/>
          <w:color w:val="333333"/>
          <w:sz w:val="24"/>
          <w:szCs w:val="24"/>
          <w:u w:val="none"/>
          <w:shd w:val="clear" w:fill="FFFFFF"/>
        </w:rPr>
        <w:fldChar w:fldCharType="begin"/>
      </w:r>
      <w:r>
        <w:rPr>
          <w:rFonts w:hint="eastAsia" w:ascii="宋体" w:hAnsi="宋体" w:eastAsia="宋体" w:cs="宋体"/>
          <w:color w:val="333333"/>
          <w:sz w:val="24"/>
          <w:szCs w:val="24"/>
          <w:u w:val="none"/>
          <w:shd w:val="clear" w:fill="FFFFFF"/>
        </w:rPr>
        <w:instrText xml:space="preserve"> HYPERLINK "http://100.12.64.172:8888/zcfgknw/c102417/c5202030/content.html" \t "http://71.17.24.17/wjjb/zxwj/202508/_blank" </w:instrText>
      </w:r>
      <w:r>
        <w:rPr>
          <w:rFonts w:hint="eastAsia" w:ascii="宋体" w:hAnsi="宋体" w:eastAsia="宋体" w:cs="宋体"/>
          <w:color w:val="333333"/>
          <w:sz w:val="24"/>
          <w:szCs w:val="24"/>
          <w:u w:val="none"/>
          <w:shd w:val="clear" w:fill="FFFFFF"/>
        </w:rPr>
        <w:fldChar w:fldCharType="separate"/>
      </w:r>
      <w:r>
        <w:rPr>
          <w:rStyle w:val="8"/>
          <w:rFonts w:hint="eastAsia" w:ascii="宋体" w:hAnsi="宋体" w:eastAsia="宋体" w:cs="宋体"/>
          <w:color w:val="333333"/>
          <w:sz w:val="24"/>
          <w:szCs w:val="24"/>
          <w:u w:val="none"/>
          <w:shd w:val="clear" w:fill="FFFFFF"/>
        </w:rPr>
        <w:t>《财政部 税务总局关于进一步加大增值税期末留抵退税政策实施力度的公告》</w:t>
      </w:r>
      <w:r>
        <w:rPr>
          <w:rFonts w:hint="eastAsia" w:ascii="宋体" w:hAnsi="宋体" w:eastAsia="宋体" w:cs="宋体"/>
          <w:color w:val="333333"/>
          <w:sz w:val="24"/>
          <w:szCs w:val="24"/>
          <w:u w:val="none"/>
          <w:shd w:val="clear" w:fill="FFFFFF"/>
        </w:rPr>
        <w:fldChar w:fldCharType="end"/>
      </w:r>
      <w:r>
        <w:rPr>
          <w:rFonts w:hint="eastAsia" w:ascii="宋体" w:hAnsi="宋体" w:eastAsia="宋体" w:cs="宋体"/>
          <w:color w:val="333333"/>
          <w:sz w:val="24"/>
          <w:szCs w:val="24"/>
          <w:shd w:val="clear" w:fill="FFFFFF"/>
        </w:rPr>
        <w:t>（财政部 税务总局公告2022年第14号）、</w:t>
      </w:r>
      <w:r>
        <w:rPr>
          <w:rFonts w:hint="eastAsia" w:ascii="宋体" w:hAnsi="宋体" w:eastAsia="宋体" w:cs="宋体"/>
          <w:color w:val="333333"/>
          <w:sz w:val="24"/>
          <w:szCs w:val="24"/>
          <w:u w:val="none"/>
          <w:shd w:val="clear" w:fill="FFFFFF"/>
        </w:rPr>
        <w:fldChar w:fldCharType="begin"/>
      </w:r>
      <w:r>
        <w:rPr>
          <w:rFonts w:hint="eastAsia" w:ascii="宋体" w:hAnsi="宋体" w:eastAsia="宋体" w:cs="宋体"/>
          <w:color w:val="333333"/>
          <w:sz w:val="24"/>
          <w:szCs w:val="24"/>
          <w:u w:val="none"/>
          <w:shd w:val="clear" w:fill="FFFFFF"/>
        </w:rPr>
        <w:instrText xml:space="preserve"> HYPERLINK "http://100.12.64.172:8888/zcfgknw/c102417/c5202024/content.html" \t "http://71.17.24.17/wjjb/zxwj/202508/_blank" </w:instrText>
      </w:r>
      <w:r>
        <w:rPr>
          <w:rFonts w:hint="eastAsia" w:ascii="宋体" w:hAnsi="宋体" w:eastAsia="宋体" w:cs="宋体"/>
          <w:color w:val="333333"/>
          <w:sz w:val="24"/>
          <w:szCs w:val="24"/>
          <w:u w:val="none"/>
          <w:shd w:val="clear" w:fill="FFFFFF"/>
        </w:rPr>
        <w:fldChar w:fldCharType="separate"/>
      </w:r>
      <w:r>
        <w:rPr>
          <w:rStyle w:val="8"/>
          <w:rFonts w:hint="eastAsia" w:ascii="宋体" w:hAnsi="宋体" w:eastAsia="宋体" w:cs="宋体"/>
          <w:color w:val="333333"/>
          <w:sz w:val="24"/>
          <w:szCs w:val="24"/>
          <w:u w:val="none"/>
          <w:shd w:val="clear" w:fill="FFFFFF"/>
        </w:rPr>
        <w:t>《财政部 税务总局关于进一步加快增值税期末留抵退税政策实施进度的公告》</w:t>
      </w:r>
      <w:r>
        <w:rPr>
          <w:rFonts w:hint="eastAsia" w:ascii="宋体" w:hAnsi="宋体" w:eastAsia="宋体" w:cs="宋体"/>
          <w:color w:val="333333"/>
          <w:sz w:val="24"/>
          <w:szCs w:val="24"/>
          <w:u w:val="none"/>
          <w:shd w:val="clear" w:fill="FFFFFF"/>
        </w:rPr>
        <w:fldChar w:fldCharType="end"/>
      </w:r>
      <w:r>
        <w:rPr>
          <w:rFonts w:hint="eastAsia" w:ascii="宋体" w:hAnsi="宋体" w:eastAsia="宋体" w:cs="宋体"/>
          <w:color w:val="333333"/>
          <w:sz w:val="24"/>
          <w:szCs w:val="24"/>
          <w:shd w:val="clear" w:fill="FFFFFF"/>
        </w:rPr>
        <w:t>（财政部 税务总局公告2022年第17号）、</w:t>
      </w:r>
      <w:r>
        <w:rPr>
          <w:rFonts w:hint="eastAsia" w:ascii="宋体" w:hAnsi="宋体" w:eastAsia="宋体" w:cs="宋体"/>
          <w:color w:val="333333"/>
          <w:sz w:val="24"/>
          <w:szCs w:val="24"/>
          <w:u w:val="none"/>
          <w:shd w:val="clear" w:fill="FFFFFF"/>
        </w:rPr>
        <w:fldChar w:fldCharType="begin"/>
      </w:r>
      <w:r>
        <w:rPr>
          <w:rFonts w:hint="eastAsia" w:ascii="宋体" w:hAnsi="宋体" w:eastAsia="宋体" w:cs="宋体"/>
          <w:color w:val="333333"/>
          <w:sz w:val="24"/>
          <w:szCs w:val="24"/>
          <w:u w:val="none"/>
          <w:shd w:val="clear" w:fill="FFFFFF"/>
        </w:rPr>
        <w:instrText xml:space="preserve"> HYPERLINK "http://100.12.64.172:8888/zcfgknw/c102417/c5202020/content.html" \t "http://71.17.24.17/wjjb/zxwj/202508/_blank" </w:instrText>
      </w:r>
      <w:r>
        <w:rPr>
          <w:rFonts w:hint="eastAsia" w:ascii="宋体" w:hAnsi="宋体" w:eastAsia="宋体" w:cs="宋体"/>
          <w:color w:val="333333"/>
          <w:sz w:val="24"/>
          <w:szCs w:val="24"/>
          <w:u w:val="none"/>
          <w:shd w:val="clear" w:fill="FFFFFF"/>
        </w:rPr>
        <w:fldChar w:fldCharType="separate"/>
      </w:r>
      <w:r>
        <w:rPr>
          <w:rStyle w:val="8"/>
          <w:rFonts w:hint="eastAsia" w:ascii="宋体" w:hAnsi="宋体" w:eastAsia="宋体" w:cs="宋体"/>
          <w:color w:val="333333"/>
          <w:sz w:val="24"/>
          <w:szCs w:val="24"/>
          <w:u w:val="none"/>
          <w:shd w:val="clear" w:fill="FFFFFF"/>
        </w:rPr>
        <w:t>《财政部 税务总局关于进一步持续加快增值税期末留抵退税政策实施进度的公告》</w:t>
      </w:r>
      <w:r>
        <w:rPr>
          <w:rFonts w:hint="eastAsia" w:ascii="宋体" w:hAnsi="宋体" w:eastAsia="宋体" w:cs="宋体"/>
          <w:color w:val="333333"/>
          <w:sz w:val="24"/>
          <w:szCs w:val="24"/>
          <w:u w:val="none"/>
          <w:shd w:val="clear" w:fill="FFFFFF"/>
        </w:rPr>
        <w:fldChar w:fldCharType="end"/>
      </w:r>
      <w:r>
        <w:rPr>
          <w:rFonts w:hint="eastAsia" w:ascii="宋体" w:hAnsi="宋体" w:eastAsia="宋体" w:cs="宋体"/>
          <w:color w:val="333333"/>
          <w:sz w:val="24"/>
          <w:szCs w:val="24"/>
          <w:shd w:val="clear" w:fill="FFFFFF"/>
        </w:rPr>
        <w:t>（财政部 税务总局公告2022年第19号）、</w:t>
      </w:r>
      <w:r>
        <w:rPr>
          <w:rFonts w:hint="eastAsia" w:ascii="宋体" w:hAnsi="宋体" w:eastAsia="宋体" w:cs="宋体"/>
          <w:color w:val="333333"/>
          <w:sz w:val="24"/>
          <w:szCs w:val="24"/>
          <w:u w:val="none"/>
          <w:shd w:val="clear" w:fill="FFFFFF"/>
        </w:rPr>
        <w:fldChar w:fldCharType="begin"/>
      </w:r>
      <w:r>
        <w:rPr>
          <w:rFonts w:hint="eastAsia" w:ascii="宋体" w:hAnsi="宋体" w:eastAsia="宋体" w:cs="宋体"/>
          <w:color w:val="333333"/>
          <w:sz w:val="24"/>
          <w:szCs w:val="24"/>
          <w:u w:val="none"/>
          <w:shd w:val="clear" w:fill="FFFFFF"/>
        </w:rPr>
        <w:instrText xml:space="preserve"> HYPERLINK "http://100.12.64.172:8888/zcfgknw/c102417/c5202014/content.html" \t "http://71.17.24.17/wjjb/zxwj/202508/_blank" </w:instrText>
      </w:r>
      <w:r>
        <w:rPr>
          <w:rFonts w:hint="eastAsia" w:ascii="宋体" w:hAnsi="宋体" w:eastAsia="宋体" w:cs="宋体"/>
          <w:color w:val="333333"/>
          <w:sz w:val="24"/>
          <w:szCs w:val="24"/>
          <w:u w:val="none"/>
          <w:shd w:val="clear" w:fill="FFFFFF"/>
        </w:rPr>
        <w:fldChar w:fldCharType="separate"/>
      </w:r>
      <w:r>
        <w:rPr>
          <w:rStyle w:val="8"/>
          <w:rFonts w:hint="eastAsia" w:ascii="宋体" w:hAnsi="宋体" w:eastAsia="宋体" w:cs="宋体"/>
          <w:color w:val="333333"/>
          <w:sz w:val="24"/>
          <w:szCs w:val="24"/>
          <w:u w:val="none"/>
          <w:shd w:val="clear" w:fill="FFFFFF"/>
        </w:rPr>
        <w:t>《财政部 税务总局关于扩大全额退还增值税留抵税额政策行业范围的公告》</w:t>
      </w:r>
      <w:r>
        <w:rPr>
          <w:rFonts w:hint="eastAsia" w:ascii="宋体" w:hAnsi="宋体" w:eastAsia="宋体" w:cs="宋体"/>
          <w:color w:val="333333"/>
          <w:sz w:val="24"/>
          <w:szCs w:val="24"/>
          <w:u w:val="none"/>
          <w:shd w:val="clear" w:fill="FFFFFF"/>
        </w:rPr>
        <w:fldChar w:fldCharType="end"/>
      </w:r>
      <w:r>
        <w:rPr>
          <w:rFonts w:hint="eastAsia" w:ascii="宋体" w:hAnsi="宋体" w:eastAsia="宋体" w:cs="宋体"/>
          <w:color w:val="333333"/>
          <w:sz w:val="24"/>
          <w:szCs w:val="24"/>
          <w:shd w:val="clear" w:fill="FFFFFF"/>
        </w:rPr>
        <w:t>（财政部 税务总局公告2022年第21号）同时废止。</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本公告施行前税务机关已受理但尚未办理完毕的留抵退税申请，仍按原规定办理。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特此公告。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right"/>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财政部 税务总局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right"/>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2025年8月22日 </w:t>
      </w:r>
    </w:p>
    <w:p>
      <w:pPr>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jc w:val="left"/>
        <w:textAlignment w:val="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63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54"/>
      <w:szCs w:val="54"/>
      <w:lang w:val="en-US" w:eastAsia="zh-CN" w:bidi="ar"/>
    </w:rPr>
  </w:style>
  <w:style w:type="paragraph" w:styleId="3">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0"/>
      <w:sz w:val="42"/>
      <w:szCs w:val="42"/>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lang w:val="en-US" w:eastAsia="zh-CN" w:bidi="ar"/>
    </w:rPr>
  </w:style>
  <w:style w:type="character" w:styleId="7">
    <w:name w:val="FollowedHyperlink"/>
    <w:basedOn w:val="6"/>
    <w:uiPriority w:val="0"/>
    <w:rPr>
      <w:rFonts w:hint="eastAsia" w:ascii="微软雅黑" w:hAnsi="微软雅黑" w:eastAsia="微软雅黑" w:cs="微软雅黑"/>
      <w:color w:val="333333"/>
      <w:u w:val="none"/>
    </w:rPr>
  </w:style>
  <w:style w:type="character" w:styleId="8">
    <w:name w:val="Hyperlink"/>
    <w:basedOn w:val="6"/>
    <w:uiPriority w:val="0"/>
    <w:rPr>
      <w:rFonts w:ascii="微软雅黑" w:hAnsi="微软雅黑" w:eastAsia="微软雅黑" w:cs="微软雅黑"/>
      <w:color w:val="333333"/>
      <w:u w:val="none"/>
    </w:rPr>
  </w:style>
  <w:style w:type="character" w:styleId="9">
    <w:name w:val="HTML Code"/>
    <w:basedOn w:val="6"/>
    <w:uiPriority w:val="0"/>
    <w:rPr>
      <w:rFonts w:ascii="Courier New" w:hAnsi="Courier New"/>
      <w:sz w:val="20"/>
      <w:bdr w:val="none" w:color="auto" w:sz="0" w:space="0"/>
    </w:rPr>
  </w:style>
  <w:style w:type="character" w:customStyle="1" w:styleId="10">
    <w:name w:val="hover5"/>
    <w:basedOn w:val="6"/>
    <w:uiPriority w:val="0"/>
  </w:style>
  <w:style w:type="character" w:customStyle="1" w:styleId="11">
    <w:name w:val="hover6"/>
    <w:basedOn w:val="6"/>
    <w:uiPriority w:val="0"/>
  </w:style>
  <w:style w:type="character" w:customStyle="1" w:styleId="12">
    <w:name w:val="prev4"/>
    <w:basedOn w:val="6"/>
    <w:uiPriority w:val="0"/>
  </w:style>
  <w:style w:type="character" w:customStyle="1" w:styleId="13">
    <w:name w:val="next5"/>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2025-09-08T01:56:41Z</dcterms:created>
  <dc:creator>Administrator</dc:creator>
  <cp:lastModifiedBy>Administrator</cp:lastModifiedBy>
  <dcterms:modified xsi:type="dcterms:W3CDTF">2025-09-08T02:03:00Z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