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03F" w:rsidRPr="001B003F" w:rsidRDefault="001B003F" w:rsidP="001B003F">
      <w:pPr>
        <w:widowControl/>
        <w:shd w:val="clear" w:color="auto" w:fill="FFFFFF"/>
        <w:spacing w:before="300" w:after="300"/>
        <w:jc w:val="center"/>
        <w:outlineLvl w:val="1"/>
        <w:rPr>
          <w:rFonts w:ascii="微软雅黑" w:eastAsia="微软雅黑" w:hAnsi="微软雅黑" w:cs="宋体"/>
          <w:b/>
          <w:bCs/>
          <w:color w:val="333333"/>
          <w:kern w:val="36"/>
          <w:sz w:val="42"/>
          <w:szCs w:val="42"/>
        </w:rPr>
      </w:pPr>
      <w:r w:rsidRPr="001B003F">
        <w:rPr>
          <w:rFonts w:ascii="微软雅黑" w:eastAsia="微软雅黑" w:hAnsi="微软雅黑" w:cs="宋体" w:hint="eastAsia"/>
          <w:b/>
          <w:bCs/>
          <w:color w:val="333333"/>
          <w:kern w:val="36"/>
          <w:sz w:val="42"/>
          <w:szCs w:val="42"/>
        </w:rPr>
        <w:t>关于《国家税务总局关于优化企业所得税年度纳税申报表的公告》的解读</w:t>
      </w:r>
    </w:p>
    <w:p w:rsidR="001B003F" w:rsidRPr="001B003F" w:rsidRDefault="001B003F" w:rsidP="001B003F">
      <w:pPr>
        <w:widowControl/>
        <w:shd w:val="clear" w:color="auto" w:fill="FFFFFF"/>
        <w:jc w:val="left"/>
        <w:rPr>
          <w:rFonts w:ascii="微软雅黑" w:eastAsia="微软雅黑" w:hAnsi="微软雅黑" w:cs="宋体" w:hint="eastAsia"/>
          <w:color w:val="999999"/>
          <w:kern w:val="0"/>
          <w:sz w:val="24"/>
          <w:szCs w:val="24"/>
        </w:rPr>
      </w:pPr>
      <w:r w:rsidRPr="001B003F">
        <w:rPr>
          <w:rFonts w:ascii="微软雅黑" w:eastAsia="微软雅黑" w:hAnsi="微软雅黑" w:cs="宋体" w:hint="eastAsia"/>
          <w:color w:val="999999"/>
          <w:kern w:val="0"/>
          <w:sz w:val="24"/>
          <w:szCs w:val="24"/>
        </w:rPr>
        <w:t xml:space="preserve">发布时间：2025-01-08 </w:t>
      </w:r>
    </w:p>
    <w:p w:rsidR="001B003F" w:rsidRPr="001B003F" w:rsidRDefault="001B003F" w:rsidP="001B003F">
      <w:pPr>
        <w:widowControl/>
        <w:shd w:val="clear" w:color="auto" w:fill="FFFFFF"/>
        <w:jc w:val="left"/>
        <w:rPr>
          <w:rFonts w:ascii="微软雅黑" w:eastAsia="微软雅黑" w:hAnsi="微软雅黑" w:cs="宋体" w:hint="eastAsia"/>
          <w:color w:val="999999"/>
          <w:kern w:val="0"/>
          <w:sz w:val="24"/>
          <w:szCs w:val="24"/>
        </w:rPr>
      </w:pPr>
      <w:r w:rsidRPr="001B003F">
        <w:rPr>
          <w:rFonts w:ascii="微软雅黑" w:eastAsia="微软雅黑" w:hAnsi="微软雅黑" w:cs="宋体" w:hint="eastAsia"/>
          <w:color w:val="999999"/>
          <w:kern w:val="0"/>
          <w:sz w:val="24"/>
          <w:szCs w:val="24"/>
        </w:rPr>
        <w:pict/>
      </w:r>
      <w:r w:rsidRPr="001B003F">
        <w:rPr>
          <w:rFonts w:ascii="微软雅黑" w:eastAsia="微软雅黑" w:hAnsi="微软雅黑" w:cs="宋体" w:hint="eastAsia"/>
          <w:color w:val="999999"/>
          <w:kern w:val="0"/>
          <w:sz w:val="24"/>
          <w:szCs w:val="24"/>
        </w:rPr>
        <w:pict/>
      </w:r>
      <w:r w:rsidRPr="001B003F">
        <w:rPr>
          <w:rFonts w:ascii="微软雅黑" w:eastAsia="微软雅黑" w:hAnsi="微软雅黑" w:cs="宋体" w:hint="eastAsia"/>
          <w:color w:val="999999"/>
          <w:kern w:val="0"/>
          <w:sz w:val="24"/>
          <w:szCs w:val="24"/>
        </w:rPr>
        <w:t>来源：国家税务总局所得税司</w:t>
      </w:r>
    </w:p>
    <w:p w:rsidR="001B003F" w:rsidRPr="001B003F" w:rsidRDefault="001B003F" w:rsidP="001B003F">
      <w:pPr>
        <w:widowControl/>
        <w:shd w:val="clear" w:color="auto" w:fill="FFFFFF"/>
        <w:jc w:val="left"/>
        <w:rPr>
          <w:rFonts w:ascii="微软雅黑" w:eastAsia="微软雅黑" w:hAnsi="微软雅黑" w:cs="宋体" w:hint="eastAsia"/>
          <w:color w:val="999999"/>
          <w:kern w:val="0"/>
          <w:sz w:val="24"/>
          <w:szCs w:val="24"/>
        </w:rPr>
      </w:pPr>
      <w:r w:rsidRPr="001B003F">
        <w:rPr>
          <w:rFonts w:ascii="微软雅黑" w:eastAsia="微软雅黑" w:hAnsi="微软雅黑" w:cs="宋体" w:hint="eastAsia"/>
          <w:color w:val="999999"/>
          <w:kern w:val="0"/>
          <w:sz w:val="24"/>
          <w:szCs w:val="24"/>
        </w:rPr>
        <w:t xml:space="preserve">字号：[大] [中] [小] </w:t>
      </w:r>
      <w:hyperlink r:id="rId4" w:history="1">
        <w:r w:rsidRPr="001B003F">
          <w:rPr>
            <w:rFonts w:ascii="微软雅黑" w:eastAsia="微软雅黑" w:hAnsi="微软雅黑" w:cs="宋体" w:hint="eastAsia"/>
            <w:color w:val="999999"/>
            <w:kern w:val="0"/>
            <w:sz w:val="24"/>
            <w:szCs w:val="24"/>
          </w:rPr>
          <w:t>打印</w:t>
        </w:r>
      </w:hyperlink>
      <w:r w:rsidRPr="001B003F">
        <w:rPr>
          <w:rFonts w:ascii="微软雅黑" w:eastAsia="微软雅黑" w:hAnsi="微软雅黑" w:cs="宋体" w:hint="eastAsia"/>
          <w:color w:val="999999"/>
          <w:kern w:val="0"/>
          <w:sz w:val="24"/>
          <w:szCs w:val="24"/>
        </w:rPr>
        <w:t xml:space="preserve">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为贯彻落实《中华人民共和国企业所得税法》及有关税收政策，进一步减轻企业办税负担，税务总局发布《国家税务总局关于优化企业所得税年度纳税申报表的公告》（以下简称《公告》）。现解读如下：</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w:t>
      </w:r>
      <w:r w:rsidRPr="001B003F">
        <w:rPr>
          <w:rFonts w:ascii="宋体" w:eastAsia="宋体" w:hAnsi="宋体" w:cs="宋体" w:hint="eastAsia"/>
          <w:b/>
          <w:bCs/>
          <w:color w:val="333333"/>
          <w:kern w:val="0"/>
          <w:sz w:val="24"/>
          <w:szCs w:val="24"/>
        </w:rPr>
        <w:t>一、有关背景</w:t>
      </w:r>
      <w:r w:rsidRPr="001B003F">
        <w:rPr>
          <w:rFonts w:ascii="宋体" w:eastAsia="宋体" w:hAnsi="宋体" w:cs="宋体" w:hint="eastAsia"/>
          <w:color w:val="333333"/>
          <w:kern w:val="0"/>
          <w:sz w:val="24"/>
          <w:szCs w:val="24"/>
        </w:rPr>
        <w:t>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2024年，为落实《国务院关于印发〈推动大规模设备更新和消费品以旧换新行动方案〉的通知》（国发〔2024〕7号）要求，财政部联合我局出台了节能节水、环境保护和安全生产专用设备数字化、智能化改造企业所得税优惠政策。为落实好上述政策，结合纳税人反映较多的财务报表样式更新等新情况，税务总局对《中华人民共和国企业所得税年度纳税申报表（A类，2017年版）》的部分表单进行了修订，进一步提升服务管理质效。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w:t>
      </w:r>
      <w:r w:rsidRPr="001B003F">
        <w:rPr>
          <w:rFonts w:ascii="宋体" w:eastAsia="宋体" w:hAnsi="宋体" w:cs="宋体" w:hint="eastAsia"/>
          <w:b/>
          <w:bCs/>
          <w:color w:val="333333"/>
          <w:kern w:val="0"/>
          <w:sz w:val="24"/>
          <w:szCs w:val="24"/>
        </w:rPr>
        <w:t>二、主要内容</w:t>
      </w:r>
      <w:r w:rsidRPr="001B003F">
        <w:rPr>
          <w:rFonts w:ascii="宋体" w:eastAsia="宋体" w:hAnsi="宋体" w:cs="宋体" w:hint="eastAsia"/>
          <w:color w:val="333333"/>
          <w:kern w:val="0"/>
          <w:sz w:val="24"/>
          <w:szCs w:val="24"/>
        </w:rPr>
        <w:t>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本次修订主要涉及8张表单，其中取消2张表单、修订6张表单。此外，对《企业所得税年度纳税申报表填报表单》和其余15张关联表单中关于表间关系的填报说明进行同步调整。主要修订内容如下：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（一）《企业所得税年度纳税申报主表》（A100000）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lastRenderedPageBreak/>
        <w:t xml:space="preserve">　　一是修改表单名称。考虑到《中华人民共和国企业所得税年度纳税申报表（A类）》（A100000）的名称与整个申报表的名称容易混淆，将该表单名</w:t>
      </w:r>
      <w:proofErr w:type="gramStart"/>
      <w:r w:rsidRPr="001B003F">
        <w:rPr>
          <w:rFonts w:ascii="宋体" w:eastAsia="宋体" w:hAnsi="宋体" w:cs="宋体" w:hint="eastAsia"/>
          <w:color w:val="333333"/>
          <w:kern w:val="0"/>
          <w:sz w:val="24"/>
          <w:szCs w:val="24"/>
        </w:rPr>
        <w:t>称修改</w:t>
      </w:r>
      <w:proofErr w:type="gramEnd"/>
      <w:r w:rsidRPr="001B003F">
        <w:rPr>
          <w:rFonts w:ascii="宋体" w:eastAsia="宋体" w:hAnsi="宋体" w:cs="宋体" w:hint="eastAsia"/>
          <w:color w:val="333333"/>
          <w:kern w:val="0"/>
          <w:sz w:val="24"/>
          <w:szCs w:val="24"/>
        </w:rPr>
        <w:t>为《企业所得税年度纳税申报主表》。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二是调整行次设置。结合新收入准则、租赁准则、金融工具和金融资产相关准则，根据最新财务报表样式优化调整“利润总额计算”相关行次。同时，增加“稽查查补（退）所得税额”、“特别纳税调整补（退）所得税额”行次，便利纳税人在稽查查处以及特别纳税调整后更正申报。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三是优化优惠事项填报方式。取消《免税、减计收入及加计扣除优惠明细表》（A107010）和《减免所得税优惠明细表》（A107040），将“免税、减计收入及加计扣除”和“减免所得税额”相关优惠事项</w:t>
      </w:r>
      <w:proofErr w:type="gramStart"/>
      <w:r w:rsidRPr="001B003F">
        <w:rPr>
          <w:rFonts w:ascii="宋体" w:eastAsia="宋体" w:hAnsi="宋体" w:cs="宋体" w:hint="eastAsia"/>
          <w:color w:val="333333"/>
          <w:kern w:val="0"/>
          <w:sz w:val="24"/>
          <w:szCs w:val="24"/>
        </w:rPr>
        <w:t>整合至主表</w:t>
      </w:r>
      <w:proofErr w:type="gramEnd"/>
      <w:r w:rsidRPr="001B003F">
        <w:rPr>
          <w:rFonts w:ascii="宋体" w:eastAsia="宋体" w:hAnsi="宋体" w:cs="宋体" w:hint="eastAsia"/>
          <w:color w:val="333333"/>
          <w:kern w:val="0"/>
          <w:sz w:val="24"/>
          <w:szCs w:val="24"/>
        </w:rPr>
        <w:t>。纳税人可根据《企业所得税申报事项目录》在主</w:t>
      </w:r>
      <w:proofErr w:type="gramStart"/>
      <w:r w:rsidRPr="001B003F">
        <w:rPr>
          <w:rFonts w:ascii="宋体" w:eastAsia="宋体" w:hAnsi="宋体" w:cs="宋体" w:hint="eastAsia"/>
          <w:color w:val="333333"/>
          <w:kern w:val="0"/>
          <w:sz w:val="24"/>
          <w:szCs w:val="24"/>
        </w:rPr>
        <w:t>表相应行</w:t>
      </w:r>
      <w:proofErr w:type="gramEnd"/>
      <w:r w:rsidRPr="001B003F">
        <w:rPr>
          <w:rFonts w:ascii="宋体" w:eastAsia="宋体" w:hAnsi="宋体" w:cs="宋体" w:hint="eastAsia"/>
          <w:color w:val="333333"/>
          <w:kern w:val="0"/>
          <w:sz w:val="24"/>
          <w:szCs w:val="24"/>
        </w:rPr>
        <w:t>次选择填报。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（二）《资产折旧、摊销及纳税调整明细表》（A105080）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参照主</w:t>
      </w:r>
      <w:proofErr w:type="gramStart"/>
      <w:r w:rsidRPr="001B003F">
        <w:rPr>
          <w:rFonts w:ascii="宋体" w:eastAsia="宋体" w:hAnsi="宋体" w:cs="宋体" w:hint="eastAsia"/>
          <w:color w:val="333333"/>
          <w:kern w:val="0"/>
          <w:sz w:val="24"/>
          <w:szCs w:val="24"/>
        </w:rPr>
        <w:t>表优惠</w:t>
      </w:r>
      <w:proofErr w:type="gramEnd"/>
      <w:r w:rsidRPr="001B003F">
        <w:rPr>
          <w:rFonts w:ascii="宋体" w:eastAsia="宋体" w:hAnsi="宋体" w:cs="宋体" w:hint="eastAsia"/>
          <w:color w:val="333333"/>
          <w:kern w:val="0"/>
          <w:sz w:val="24"/>
          <w:szCs w:val="24"/>
        </w:rPr>
        <w:t>事项填报方式，对《资产折旧、摊销及纳税调整明细表》（A105080）进行调整，将表单中涉及固定资产和无形资产加速折旧或摊销的优惠项目整合到第28行至第29行填报。纳税人可根据《企业所得税申报事项目录》选择填报。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（三）《研发费用加计扣除优惠明细表》（A107012）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考虑到《财政部 税务总局 科技部关于加大支持科技创新税前扣除力度的公告》（2022年第28号）已经废止，纳税人无需分别计算前三季度、第四季度研发费用金额。因此，删除了《研发费用加计扣除优惠明细表》（A107012）中的相关行次，并对“加计扣除比例及计算方法”的填报口径进行调整。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（四）《税额抵免优惠明细表》（A107050）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lastRenderedPageBreak/>
        <w:t xml:space="preserve">　　根据《财政部 税务总局关于节能节水、环境保护、安全生产专用设备数字化智能化改造企业所得税政策的公告》（2024年第9号）规定，将原《税额抵免优惠明细表》（A107050）中“专用设备投资情况填报信息”</w:t>
      </w:r>
      <w:proofErr w:type="gramStart"/>
      <w:r w:rsidRPr="001B003F">
        <w:rPr>
          <w:rFonts w:ascii="宋体" w:eastAsia="宋体" w:hAnsi="宋体" w:cs="宋体" w:hint="eastAsia"/>
          <w:color w:val="333333"/>
          <w:kern w:val="0"/>
          <w:sz w:val="24"/>
          <w:szCs w:val="24"/>
        </w:rPr>
        <w:t>固定行</w:t>
      </w:r>
      <w:proofErr w:type="gramEnd"/>
      <w:r w:rsidRPr="001B003F">
        <w:rPr>
          <w:rFonts w:ascii="宋体" w:eastAsia="宋体" w:hAnsi="宋体" w:cs="宋体" w:hint="eastAsia"/>
          <w:color w:val="333333"/>
          <w:kern w:val="0"/>
          <w:sz w:val="24"/>
          <w:szCs w:val="24"/>
        </w:rPr>
        <w:t>次变更为可增加的明细行次，同时增加“投资类型”、“投资额”、“抵免比例”、“可抵免税额”等填报项目，满足新政策填报需要。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（五）《跨地区经营汇总纳税企业年度分摊企业所得税明细表》（A109000）、《企业所得税汇总纳税分支机构所得税分配表》（A109010）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结合汇总纳税企业申报情况，优化总分机构分摊税款计算方法，并对《跨地区经营汇总纳税企业年度分摊企业所得税明细表》（A109000）及《企业所得税汇总纳税分支机构所得税分配表》（A109010）</w:t>
      </w:r>
      <w:proofErr w:type="gramStart"/>
      <w:r w:rsidRPr="001B003F">
        <w:rPr>
          <w:rFonts w:ascii="宋体" w:eastAsia="宋体" w:hAnsi="宋体" w:cs="宋体" w:hint="eastAsia"/>
          <w:color w:val="333333"/>
          <w:kern w:val="0"/>
          <w:sz w:val="24"/>
          <w:szCs w:val="24"/>
        </w:rPr>
        <w:t>的表样和</w:t>
      </w:r>
      <w:proofErr w:type="gramEnd"/>
      <w:r w:rsidRPr="001B003F">
        <w:rPr>
          <w:rFonts w:ascii="宋体" w:eastAsia="宋体" w:hAnsi="宋体" w:cs="宋体" w:hint="eastAsia"/>
          <w:color w:val="333333"/>
          <w:kern w:val="0"/>
          <w:sz w:val="24"/>
          <w:szCs w:val="24"/>
        </w:rPr>
        <w:t>填报说明进行调整。按照调整后的规则，企业先对全年应纳税款进行分摊，再由总、分机构分别抵减其已分摊预缴税款，并计算本年应补退税金额。举例说明如下：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案例】甲公司是2023年在北京市注册成立的企业，不属于小型微利企业。甲公司分别在山东省、天津市、河北省设立了分支机构A、B、C。2024年，甲企业全年预缴了250万元，其中，总机构预缴了125万元，A、B和C按照50%、30%、20%的分摊比例，分别预缴了62.5万元、37.5万元、25万元。甲公司2024年度</w:t>
      </w:r>
      <w:proofErr w:type="gramStart"/>
      <w:r w:rsidRPr="001B003F">
        <w:rPr>
          <w:rFonts w:ascii="宋体" w:eastAsia="宋体" w:hAnsi="宋体" w:cs="宋体" w:hint="eastAsia"/>
          <w:color w:val="333333"/>
          <w:kern w:val="0"/>
          <w:sz w:val="24"/>
          <w:szCs w:val="24"/>
        </w:rPr>
        <w:t>汇缴应纳税</w:t>
      </w:r>
      <w:proofErr w:type="gramEnd"/>
      <w:r w:rsidRPr="001B003F">
        <w:rPr>
          <w:rFonts w:ascii="宋体" w:eastAsia="宋体" w:hAnsi="宋体" w:cs="宋体" w:hint="eastAsia"/>
          <w:color w:val="333333"/>
          <w:kern w:val="0"/>
          <w:sz w:val="24"/>
          <w:szCs w:val="24"/>
        </w:rPr>
        <w:t>额300万元，并发现分支机构A、B三因素填写错误，A的分配比例是30%，B的分配比例是50%。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1.原计算方法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第一步，整体计算企业本年应补（退）税额。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甲企业应补（退）税额：300－250＝50万元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第二步，根据分摊比例分别计算总分机构应补退税额。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lastRenderedPageBreak/>
        <w:t xml:space="preserve">　　总机构应补（退）税额：50×50%＝25万元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分支机构A应补（退）税额：50×50%×30%＝7.5万元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分支机构B应补（退）税额：50×50%×50%＝12.5万元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分支机构C应补（退）税额：50×50%×20%＝5万元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2.新计算方法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第一步，根据分摊比例计算总分机构全年实际应纳所得税额。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甲企业：300万元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总机构：300×50%＝150万元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分支机构A：300×50%×30%＝45万元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分支机构B：300×50%×50%＝75万元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分支机构C：300×50%×20%＝30万元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第二步，计算总分机构分摊应补（退）所得税额。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总机构应补（退）税额：150－125＝25万元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分支机构A应补（退）税额：45－62.5＝－17.5万元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分支机构B应补（退）税额：75－37.5＝37.5万元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分支机构C应补（退）税额：30－25＝5万元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50"/>
        <w:gridCol w:w="1095"/>
        <w:gridCol w:w="1095"/>
        <w:gridCol w:w="1380"/>
        <w:gridCol w:w="1448"/>
      </w:tblGrid>
      <w:tr w:rsidR="001B003F" w:rsidRPr="001B003F" w:rsidTr="001B003F">
        <w:trPr>
          <w:trHeight w:val="495"/>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480" w:lineRule="auto"/>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分支机构名称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480" w:lineRule="auto"/>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分支机构分摊比例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480" w:lineRule="auto"/>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应补（退）所得税额</w:t>
            </w:r>
          </w:p>
        </w:tc>
      </w:tr>
      <w:tr w:rsidR="001B003F" w:rsidRPr="001B003F" w:rsidTr="001B003F">
        <w:trPr>
          <w:trHeight w:val="462"/>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jc w:val="left"/>
              <w:rPr>
                <w:rFonts w:ascii="宋体" w:eastAsia="宋体" w:hAnsi="宋体" w:cs="宋体"/>
                <w:color w:val="333333"/>
                <w:kern w:val="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480" w:lineRule="auto"/>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预缴</w:t>
            </w:r>
          </w:p>
        </w:tc>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480" w:lineRule="auto"/>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汇缴</w:t>
            </w:r>
          </w:p>
        </w:tc>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480" w:lineRule="auto"/>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原计算方法</w:t>
            </w:r>
          </w:p>
        </w:tc>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480" w:lineRule="auto"/>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新计算方法</w:t>
            </w:r>
          </w:p>
        </w:tc>
      </w:tr>
      <w:tr w:rsidR="001B003F" w:rsidRPr="001B003F" w:rsidTr="001B003F">
        <w:trPr>
          <w:trHeight w:val="430"/>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480" w:lineRule="auto"/>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分支机构A</w:t>
            </w:r>
          </w:p>
        </w:tc>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480" w:lineRule="auto"/>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480" w:lineRule="auto"/>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480" w:lineRule="auto"/>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7.5万元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480" w:lineRule="auto"/>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－17.5万元</w:t>
            </w:r>
          </w:p>
        </w:tc>
      </w:tr>
      <w:tr w:rsidR="001B003F" w:rsidRPr="001B003F" w:rsidTr="001B003F">
        <w:trPr>
          <w:trHeight w:val="90"/>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90" w:lineRule="atLeast"/>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分支机构B</w:t>
            </w:r>
          </w:p>
        </w:tc>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90" w:lineRule="atLeast"/>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90" w:lineRule="atLeast"/>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90" w:lineRule="atLeast"/>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12.5万元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90" w:lineRule="atLeast"/>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37.5万元</w:t>
            </w:r>
          </w:p>
        </w:tc>
      </w:tr>
      <w:tr w:rsidR="001B003F" w:rsidRPr="001B003F" w:rsidTr="001B003F">
        <w:trPr>
          <w:trHeight w:val="396"/>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480" w:lineRule="auto"/>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lastRenderedPageBreak/>
              <w:t>分支机构C</w:t>
            </w:r>
          </w:p>
        </w:tc>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480" w:lineRule="auto"/>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480" w:lineRule="auto"/>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480" w:lineRule="auto"/>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5万元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480" w:lineRule="auto"/>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5万元</w:t>
            </w:r>
          </w:p>
        </w:tc>
      </w:tr>
      <w:tr w:rsidR="001B003F" w:rsidRPr="001B003F" w:rsidTr="001B003F">
        <w:trPr>
          <w:trHeight w:val="549"/>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480" w:lineRule="auto"/>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480" w:lineRule="auto"/>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480" w:lineRule="auto"/>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480" w:lineRule="auto"/>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25万元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1B003F" w:rsidRPr="001B003F" w:rsidRDefault="001B003F" w:rsidP="001B003F">
            <w:pPr>
              <w:widowControl/>
              <w:spacing w:line="480" w:lineRule="auto"/>
              <w:jc w:val="center"/>
              <w:rPr>
                <w:rFonts w:ascii="宋体" w:eastAsia="宋体" w:hAnsi="宋体" w:cs="宋体"/>
                <w:color w:val="333333"/>
                <w:kern w:val="0"/>
                <w:sz w:val="27"/>
                <w:szCs w:val="27"/>
              </w:rPr>
            </w:pPr>
            <w:r w:rsidRPr="001B003F">
              <w:rPr>
                <w:rFonts w:ascii="仿宋_GB2312" w:eastAsia="仿宋_GB2312" w:hAnsi="宋体" w:cs="宋体" w:hint="eastAsia"/>
                <w:color w:val="333333"/>
                <w:kern w:val="0"/>
                <w:sz w:val="27"/>
                <w:szCs w:val="27"/>
              </w:rPr>
              <w:t>25万元</w:t>
            </w:r>
          </w:p>
        </w:tc>
      </w:tr>
    </w:tbl>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w:t>
      </w:r>
    </w:p>
    <w:p w:rsidR="001B003F" w:rsidRPr="001B003F" w:rsidRDefault="001B003F" w:rsidP="001B003F">
      <w:pPr>
        <w:widowControl/>
        <w:shd w:val="clear" w:color="auto" w:fill="FFFFFF"/>
        <w:spacing w:line="480" w:lineRule="auto"/>
        <w:jc w:val="center"/>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需要说明的是，汇总纳税企业如果不存在分摊税款计算不准确的情形，无论按原计算方法，还是按新计算方法，结果都是一样的。但是，若汇总纳税企业预缴环节未准确计算分摊税款，新计算方法可通过全量分摊方式，对全年分摊税款重新计算，实现多退少补。案例中，由于分支机构A和分支机构B在预缴环节分摊税款不准确，按新计算方法计算后，分支机构A在汇算清缴时应退税17.5万元，分支机构B应补税37.5万元，实现了对预缴未准确分摊税款的调整；由于分支机构C不存在分摊税款不准确的情形，无论按哪种方法计算，分支机构C在汇算清缴时均应补税5万元。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（六）《一般企业收入明细表》（A101010）等部分表单填报说明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根据表单样式调整情况，同步对关联表单的填报说明进行了修改。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（七）其他需要说明的问题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《公告》进一步重申了股权（股票）投资处置的填报要求，企业应按照相关规定准确填报有关事项，如实履行申报义务。企业发生股权（股票）处置业务的，应区分三种情形分别填报：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一是按税收规定属于企业重组的，在《企业重组及递延纳税事项纳税调整明细表》（A105100）中填报重组情况；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二是不属于企业重组，但按税收规定确认为损失的，在《资产损失税前扣除及纳税调整明细表》（A105090）填报损失情况；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lastRenderedPageBreak/>
        <w:t xml:space="preserve">　　三是除上述两种情形之外，均应在《投资收益纳税调整明细表》（A105030）中填报处置收益相关情况。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w:t>
      </w:r>
      <w:r w:rsidRPr="001B003F">
        <w:rPr>
          <w:rFonts w:ascii="宋体" w:eastAsia="宋体" w:hAnsi="宋体" w:cs="宋体" w:hint="eastAsia"/>
          <w:b/>
          <w:bCs/>
          <w:color w:val="333333"/>
          <w:kern w:val="0"/>
          <w:sz w:val="24"/>
          <w:szCs w:val="24"/>
        </w:rPr>
        <w:t>三、实施时间</w:t>
      </w:r>
      <w:r w:rsidRPr="001B003F">
        <w:rPr>
          <w:rFonts w:ascii="宋体" w:eastAsia="宋体" w:hAnsi="宋体" w:cs="宋体" w:hint="eastAsia"/>
          <w:color w:val="333333"/>
          <w:kern w:val="0"/>
          <w:sz w:val="24"/>
          <w:szCs w:val="24"/>
        </w:rPr>
        <w:t>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《公告》适用于2024年度和以后年度企业所得税汇算清缴纳税申报。今后如出台新政策，按照新政策相关规定填报。以前年度企业所得税纳税申报</w:t>
      </w:r>
      <w:proofErr w:type="gramStart"/>
      <w:r w:rsidRPr="001B003F">
        <w:rPr>
          <w:rFonts w:ascii="宋体" w:eastAsia="宋体" w:hAnsi="宋体" w:cs="宋体" w:hint="eastAsia"/>
          <w:color w:val="333333"/>
          <w:kern w:val="0"/>
          <w:sz w:val="24"/>
          <w:szCs w:val="24"/>
        </w:rPr>
        <w:t>表相关</w:t>
      </w:r>
      <w:proofErr w:type="gramEnd"/>
      <w:r w:rsidRPr="001B003F">
        <w:rPr>
          <w:rFonts w:ascii="宋体" w:eastAsia="宋体" w:hAnsi="宋体" w:cs="宋体" w:hint="eastAsia"/>
          <w:color w:val="333333"/>
          <w:kern w:val="0"/>
          <w:sz w:val="24"/>
          <w:szCs w:val="24"/>
        </w:rPr>
        <w:t>规则与本《公告》不一致的，不进行追溯调整。纳税人调整以前年度涉税事项的，按照相应年度的企业所得税纳税申报</w:t>
      </w:r>
      <w:proofErr w:type="gramStart"/>
      <w:r w:rsidRPr="001B003F">
        <w:rPr>
          <w:rFonts w:ascii="宋体" w:eastAsia="宋体" w:hAnsi="宋体" w:cs="宋体" w:hint="eastAsia"/>
          <w:color w:val="333333"/>
          <w:kern w:val="0"/>
          <w:sz w:val="24"/>
          <w:szCs w:val="24"/>
        </w:rPr>
        <w:t>表相关</w:t>
      </w:r>
      <w:proofErr w:type="gramEnd"/>
      <w:r w:rsidRPr="001B003F">
        <w:rPr>
          <w:rFonts w:ascii="宋体" w:eastAsia="宋体" w:hAnsi="宋体" w:cs="宋体" w:hint="eastAsia"/>
          <w:color w:val="333333"/>
          <w:kern w:val="0"/>
          <w:sz w:val="24"/>
          <w:szCs w:val="24"/>
        </w:rPr>
        <w:t>规则调整。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w:t>
      </w:r>
    </w:p>
    <w:p w:rsidR="001B003F" w:rsidRPr="001B003F" w:rsidRDefault="001B003F" w:rsidP="001B003F">
      <w:pPr>
        <w:widowControl/>
        <w:shd w:val="clear" w:color="auto" w:fill="FFFFFF"/>
        <w:spacing w:line="480" w:lineRule="auto"/>
        <w:jc w:val="left"/>
        <w:rPr>
          <w:rFonts w:ascii="宋体" w:eastAsia="宋体" w:hAnsi="宋体" w:cs="宋体" w:hint="eastAsia"/>
          <w:color w:val="333333"/>
          <w:kern w:val="0"/>
          <w:sz w:val="24"/>
          <w:szCs w:val="24"/>
        </w:rPr>
      </w:pPr>
      <w:r w:rsidRPr="001B003F">
        <w:rPr>
          <w:rFonts w:ascii="宋体" w:eastAsia="宋体" w:hAnsi="宋体" w:cs="宋体" w:hint="eastAsia"/>
          <w:color w:val="333333"/>
          <w:kern w:val="0"/>
          <w:sz w:val="24"/>
          <w:szCs w:val="24"/>
        </w:rPr>
        <w:t xml:space="preserve">　　关联文件： </w:t>
      </w:r>
      <w:hyperlink r:id="rId5" w:tgtFrame="_blank" w:tooltip="国家税务总局关于优化企业所得税年度纳税申报表的公告" w:history="1">
        <w:r w:rsidRPr="001B003F">
          <w:rPr>
            <w:rFonts w:ascii="宋体" w:eastAsia="宋体" w:hAnsi="宋体" w:cs="宋体" w:hint="eastAsia"/>
            <w:color w:val="333333"/>
            <w:kern w:val="0"/>
            <w:sz w:val="24"/>
            <w:szCs w:val="24"/>
          </w:rPr>
          <w:t>国家税务总局关于优化企业所得税年度纳税申报表的公告</w:t>
        </w:r>
      </w:hyperlink>
    </w:p>
    <w:p w:rsidR="001B003F" w:rsidRPr="001B003F" w:rsidRDefault="001B003F" w:rsidP="001B003F">
      <w:pPr>
        <w:widowControl/>
        <w:shd w:val="clear" w:color="auto" w:fill="FFFFFF"/>
        <w:jc w:val="left"/>
        <w:rPr>
          <w:rFonts w:ascii="微软雅黑" w:eastAsia="微软雅黑" w:hAnsi="微软雅黑" w:cs="宋体" w:hint="eastAsia"/>
          <w:color w:val="333333"/>
          <w:kern w:val="0"/>
          <w:sz w:val="24"/>
          <w:szCs w:val="24"/>
        </w:rPr>
      </w:pPr>
    </w:p>
    <w:p w:rsidR="00A664EA" w:rsidRDefault="00A664EA"/>
    <w:sectPr w:rsidR="00A664EA" w:rsidSect="00A664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003F"/>
    <w:rsid w:val="001B003F"/>
    <w:rsid w:val="00A664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4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B003F"/>
    <w:rPr>
      <w:b/>
      <w:bCs/>
    </w:rPr>
  </w:style>
</w:styles>
</file>

<file path=word/webSettings.xml><?xml version="1.0" encoding="utf-8"?>
<w:webSettings xmlns:r="http://schemas.openxmlformats.org/officeDocument/2006/relationships" xmlns:w="http://schemas.openxmlformats.org/wordprocessingml/2006/main">
  <w:divs>
    <w:div w:id="1895043351">
      <w:bodyDiv w:val="1"/>
      <w:marLeft w:val="0"/>
      <w:marRight w:val="0"/>
      <w:marTop w:val="0"/>
      <w:marBottom w:val="0"/>
      <w:divBdr>
        <w:top w:val="none" w:sz="0" w:space="0" w:color="auto"/>
        <w:left w:val="none" w:sz="0" w:space="0" w:color="auto"/>
        <w:bottom w:val="none" w:sz="0" w:space="0" w:color="auto"/>
        <w:right w:val="none" w:sz="0" w:space="0" w:color="auto"/>
      </w:divBdr>
      <w:divsChild>
        <w:div w:id="382798208">
          <w:marLeft w:val="0"/>
          <w:marRight w:val="0"/>
          <w:marTop w:val="0"/>
          <w:marBottom w:val="0"/>
          <w:divBdr>
            <w:top w:val="none" w:sz="0" w:space="0" w:color="auto"/>
            <w:left w:val="none" w:sz="0" w:space="0" w:color="auto"/>
            <w:bottom w:val="none" w:sz="0" w:space="0" w:color="auto"/>
            <w:right w:val="none" w:sz="0" w:space="0" w:color="auto"/>
          </w:divBdr>
          <w:divsChild>
            <w:div w:id="530848480">
              <w:marLeft w:val="0"/>
              <w:marRight w:val="0"/>
              <w:marTop w:val="0"/>
              <w:marBottom w:val="0"/>
              <w:divBdr>
                <w:top w:val="none" w:sz="0" w:space="0" w:color="auto"/>
                <w:left w:val="none" w:sz="0" w:space="0" w:color="auto"/>
                <w:bottom w:val="none" w:sz="0" w:space="0" w:color="auto"/>
                <w:right w:val="none" w:sz="0" w:space="0" w:color="auto"/>
              </w:divBdr>
              <w:divsChild>
                <w:div w:id="1410424081">
                  <w:marLeft w:val="0"/>
                  <w:marRight w:val="0"/>
                  <w:marTop w:val="0"/>
                  <w:marBottom w:val="0"/>
                  <w:divBdr>
                    <w:top w:val="none" w:sz="0" w:space="0" w:color="auto"/>
                    <w:left w:val="none" w:sz="0" w:space="0" w:color="auto"/>
                    <w:bottom w:val="none" w:sz="0" w:space="0" w:color="auto"/>
                    <w:right w:val="none" w:sz="0" w:space="0" w:color="auto"/>
                  </w:divBdr>
                  <w:divsChild>
                    <w:div w:id="1244336088">
                      <w:marLeft w:val="0"/>
                      <w:marRight w:val="0"/>
                      <w:marTop w:val="0"/>
                      <w:marBottom w:val="0"/>
                      <w:divBdr>
                        <w:top w:val="none" w:sz="0" w:space="0" w:color="auto"/>
                        <w:left w:val="none" w:sz="0" w:space="0" w:color="auto"/>
                        <w:bottom w:val="none" w:sz="0" w:space="0" w:color="auto"/>
                        <w:right w:val="none" w:sz="0" w:space="0" w:color="auto"/>
                      </w:divBdr>
                    </w:div>
                    <w:div w:id="1711416797">
                      <w:marLeft w:val="600"/>
                      <w:marRight w:val="0"/>
                      <w:marTop w:val="0"/>
                      <w:marBottom w:val="0"/>
                      <w:divBdr>
                        <w:top w:val="none" w:sz="0" w:space="0" w:color="auto"/>
                        <w:left w:val="none" w:sz="0" w:space="0" w:color="auto"/>
                        <w:bottom w:val="none" w:sz="0" w:space="0" w:color="auto"/>
                        <w:right w:val="none" w:sz="0" w:space="0" w:color="auto"/>
                      </w:divBdr>
                    </w:div>
                    <w:div w:id="587084545">
                      <w:marLeft w:val="0"/>
                      <w:marRight w:val="0"/>
                      <w:marTop w:val="0"/>
                      <w:marBottom w:val="0"/>
                      <w:divBdr>
                        <w:top w:val="none" w:sz="0" w:space="0" w:color="auto"/>
                        <w:left w:val="none" w:sz="0" w:space="0" w:color="auto"/>
                        <w:bottom w:val="none" w:sz="0" w:space="0" w:color="auto"/>
                        <w:right w:val="none" w:sz="0" w:space="0" w:color="auto"/>
                      </w:divBdr>
                    </w:div>
                  </w:divsChild>
                </w:div>
                <w:div w:id="21089653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71.17.24.17/wjjb/zxwj/202501/t20250121_101473.html" TargetMode="External"/><Relationship Id="rId4"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孙图亚</dc:creator>
  <cp:lastModifiedBy>孙图亚</cp:lastModifiedBy>
  <cp:revision>1</cp:revision>
  <dcterms:created xsi:type="dcterms:W3CDTF">2025-03-03T02:11:00Z</dcterms:created>
  <dcterms:modified xsi:type="dcterms:W3CDTF">2025-03-03T02:12:00Z</dcterms:modified>
</cp:coreProperties>
</file>