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CD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税务事项</w:t>
      </w:r>
    </w:p>
    <w:p w14:paraId="2620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通知书</w:t>
      </w:r>
    </w:p>
    <w:p w14:paraId="7F5E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</w:t>
      </w:r>
      <w:r>
        <w:rPr>
          <w:rFonts w:hint="eastAsia" w:ascii="楷体_GB2312" w:hAnsi="楷体_GB2312" w:eastAsia="楷体_GB2312" w:cs="楷体_GB2312"/>
          <w:sz w:val="32"/>
          <w:szCs w:val="32"/>
        </w:rPr>
        <w:t>税通〔202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1918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714D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35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鞠天友（纳税人识别号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150422197406020015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0D3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朱秀丽（纳税人识别号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150422197412140048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B61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鞠海龙（纳税人识别号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150422195510270031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CED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事由：责令限期申报缴纳税款</w:t>
      </w:r>
    </w:p>
    <w:p w14:paraId="0866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依据：《中华人民共和国税收征收管理法》第二十五条、第三十二条、第六十二条、第六十四条。</w:t>
      </w:r>
    </w:p>
    <w:p w14:paraId="1CB1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通知内容：根据《巴林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旗人民法院执行裁定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2209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号之执行裁定内容，限202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日前，携带相关资料至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动产登记中心大厅，办理相关抵债不动产权属转移的税费申报、缴纳等事宜，如未按照规定期限办理纳税申报，从税款滞纳之日起至缴纳或解缴之日止，按日加收滞纳税款万分之五的滞纳金，与税款一并缴纳。逾期仍不缴将按《中华人民共和国税收征收管理法》有关规定处理。</w:t>
      </w:r>
    </w:p>
    <w:p w14:paraId="09F9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239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07C8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1D4D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5325A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61D2"/>
    <w:rsid w:val="411B61D2"/>
    <w:rsid w:val="6DD9D2D1"/>
    <w:rsid w:val="7CDBC2CF"/>
    <w:rsid w:val="7DD7557D"/>
    <w:rsid w:val="7DD98C30"/>
    <w:rsid w:val="7FBE8586"/>
    <w:rsid w:val="FAFDA1E7"/>
    <w:rsid w:val="FCEFA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2026-03-24T18:10:00Z</dcterms:created>
  <dc:creator>Administrator</dc:creator>
  <cp:lastModifiedBy>zqsw03</cp:lastModifiedBy>
  <dcterms:modified xsi:type="dcterms:W3CDTF">2026-05-20T09:59:08Z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4C690F91C652A320D612FB692C511EC0_43</vt:lpwstr>
  </property>
</Properties>
</file>