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EB1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国家税务总局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巴林左旗税务局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税务事项</w:t>
      </w:r>
    </w:p>
    <w:p w14:paraId="262070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通知书</w:t>
      </w:r>
    </w:p>
    <w:p w14:paraId="7F5EA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左</w:t>
      </w:r>
      <w:r>
        <w:rPr>
          <w:rFonts w:hint="eastAsia" w:ascii="楷体_GB2312" w:hAnsi="楷体_GB2312" w:eastAsia="楷体_GB2312" w:cs="楷体_GB2312"/>
          <w:sz w:val="32"/>
          <w:szCs w:val="32"/>
        </w:rPr>
        <w:t>税通〔202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sz w:val="32"/>
          <w:szCs w:val="32"/>
        </w:rPr>
        <w:t>〕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1912</w:t>
      </w:r>
      <w:r>
        <w:rPr>
          <w:rFonts w:hint="eastAsia" w:ascii="楷体_GB2312" w:hAnsi="楷体_GB2312" w:eastAsia="楷体_GB2312" w:cs="楷体_GB2312"/>
          <w:sz w:val="32"/>
          <w:szCs w:val="32"/>
        </w:rPr>
        <w:t>号</w:t>
      </w:r>
    </w:p>
    <w:p w14:paraId="2A350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鞠海龙（纳税人识别号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150422195510270031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5CEDD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事由：责令限期申报缴纳税款</w:t>
      </w:r>
    </w:p>
    <w:p w14:paraId="08666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依据：《中华人民共和国税收征收管理法》第二十五条、第三十二条、第六十二条、第六十四条。</w:t>
      </w:r>
    </w:p>
    <w:p w14:paraId="1CB1D3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通知内容：根据《巴林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左</w:t>
      </w:r>
      <w:r>
        <w:rPr>
          <w:rFonts w:hint="eastAsia" w:ascii="仿宋_GB2312" w:hAnsi="仿宋_GB2312" w:eastAsia="仿宋_GB2312" w:cs="仿宋_GB2312"/>
          <w:sz w:val="32"/>
          <w:szCs w:val="32"/>
        </w:rPr>
        <w:t>旗人民法院执行裁定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书</w:t>
      </w:r>
      <w:r>
        <w:rPr>
          <w:rFonts w:hint="eastAsia" w:ascii="仿宋_GB2312" w:hAnsi="仿宋_GB2312" w:eastAsia="仿宋_GB2312" w:cs="仿宋_GB2312"/>
          <w:sz w:val="32"/>
          <w:szCs w:val="32"/>
        </w:rPr>
        <w:t>》（20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</w:rPr>
        <w:t>）内042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2208</w:t>
      </w:r>
      <w:r>
        <w:rPr>
          <w:rFonts w:hint="eastAsia" w:ascii="仿宋_GB2312" w:hAnsi="仿宋_GB2312" w:eastAsia="仿宋_GB2312" w:cs="仿宋_GB2312"/>
          <w:sz w:val="32"/>
          <w:szCs w:val="32"/>
        </w:rPr>
        <w:t>号之执行裁定内容，限202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日前，携带相关资料至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巴林左旗政务服务局</w:t>
      </w:r>
      <w:r>
        <w:rPr>
          <w:rFonts w:hint="eastAsia" w:ascii="仿宋_GB2312" w:hAnsi="仿宋_GB2312" w:eastAsia="仿宋_GB2312" w:cs="仿宋_GB2312"/>
          <w:sz w:val="32"/>
          <w:szCs w:val="32"/>
        </w:rPr>
        <w:t>不动产登记中心大厅，办理相关抵债不动产权属转移的税费申报、缴纳等事宜，如未按照规定期限办理纳税申报，从税款滞纳之日起至缴纳或解缴之日止，按日加收滞纳税款万分之五的滞纳金，与税款一并缴纳。逾期仍不缴将按《中华人民共和国税收征收管理法》有关规定处理。</w:t>
      </w:r>
    </w:p>
    <w:p w14:paraId="09F9E7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</w:p>
    <w:p w14:paraId="52395A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607C85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国家税务总局巴林左旗税务局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741D4DB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</w:t>
      </w:r>
    </w:p>
    <w:p w14:paraId="5325A7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1B61D2"/>
    <w:rsid w:val="411B61D2"/>
    <w:rsid w:val="6DD9D2D1"/>
    <w:rsid w:val="7CDBC2CF"/>
    <w:rsid w:val="7FBE8586"/>
    <w:rsid w:val="DE8762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Office_12.1.2.24720_F1E327BC-269C-435d-A152-05C5408002CA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2026-03-24T02:10:00Z</dcterms:created>
  <dc:creator>Administrator</dc:creator>
  <cp:lastModifiedBy>zqsw03</cp:lastModifiedBy>
  <dcterms:modified xsi:type="dcterms:W3CDTF">2026-05-19T17:29:17Z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2052-12.1.2.24720</vt:lpwstr>
  </property>
  <property fmtid="{D5CDD505-2E9C-101B-9397-08002B2CF9AE}" pid="3" name="ICV">
    <vt:lpwstr>EDC737D3C4F7D639AA07D669CEF13E27_42</vt:lpwstr>
  </property>
</Properties>
</file>