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60" w:lineRule="exact"/>
        <w:ind w:left="0" w:right="0"/>
        <w:jc w:val="center"/>
        <w:textAlignment w:val="auto"/>
        <w:rPr>
          <w:rFonts w:hint="eastAsia" w:ascii="方正小标宋简体" w:hAnsi="方正小标宋简体" w:eastAsia="方正小标宋简体" w:cs="方正小标宋简体"/>
          <w:b w:val="0"/>
          <w:bCs w:val="0"/>
          <w:color w:val="333333"/>
          <w:sz w:val="44"/>
          <w:szCs w:val="44"/>
          <w:shd w:val="clear" w:fill="FFFFFF"/>
        </w:rPr>
      </w:pPr>
      <w:bookmarkStart w:id="0" w:name="_GoBack"/>
      <w:r>
        <w:rPr>
          <w:rFonts w:hint="eastAsia" w:ascii="方正小标宋简体" w:hAnsi="方正小标宋简体" w:eastAsia="方正小标宋简体" w:cs="方正小标宋简体"/>
          <w:b w:val="0"/>
          <w:bCs w:val="0"/>
          <w:color w:val="333333"/>
          <w:sz w:val="44"/>
          <w:szCs w:val="44"/>
          <w:shd w:val="clear" w:fill="FFFFFF"/>
        </w:rPr>
        <w:t xml:space="preserve">关于《国家税务总局 工业和信息化部 </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60" w:lineRule="exact"/>
        <w:ind w:left="0" w:right="0"/>
        <w:jc w:val="center"/>
        <w:textAlignment w:val="auto"/>
        <w:rPr>
          <w:rFonts w:hint="eastAsia" w:ascii="方正小标宋简体" w:hAnsi="方正小标宋简体" w:eastAsia="方正小标宋简体" w:cs="方正小标宋简体"/>
          <w:b w:val="0"/>
          <w:bCs w:val="0"/>
          <w:color w:val="333333"/>
          <w:sz w:val="44"/>
          <w:szCs w:val="44"/>
          <w:shd w:val="clear" w:fill="FFFFFF"/>
        </w:rPr>
      </w:pPr>
      <w:r>
        <w:rPr>
          <w:rFonts w:hint="eastAsia" w:ascii="方正小标宋简体" w:hAnsi="方正小标宋简体" w:eastAsia="方正小标宋简体" w:cs="方正小标宋简体"/>
          <w:b w:val="0"/>
          <w:bCs w:val="0"/>
          <w:color w:val="333333"/>
          <w:sz w:val="44"/>
          <w:szCs w:val="44"/>
          <w:shd w:val="clear" w:fill="FFFFFF"/>
        </w:rPr>
        <w:t>国家互联网信息办公室关于规范互联网平台</w:t>
      </w:r>
    </w:p>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60" w:lineRule="exact"/>
        <w:ind w:left="0" w:right="0"/>
        <w:jc w:val="center"/>
        <w:textAlignment w:val="auto"/>
        <w:rPr>
          <w:rFonts w:hint="eastAsia" w:ascii="方正小标宋简体" w:hAnsi="方正小标宋简体" w:eastAsia="方正小标宋简体" w:cs="方正小标宋简体"/>
          <w:b w:val="0"/>
          <w:bCs w:val="0"/>
          <w:color w:val="333333"/>
          <w:sz w:val="44"/>
          <w:szCs w:val="44"/>
          <w:shd w:val="clear" w:fill="FFFFFF"/>
        </w:rPr>
      </w:pPr>
      <w:r>
        <w:rPr>
          <w:rFonts w:hint="eastAsia" w:ascii="方正小标宋简体" w:hAnsi="方正小标宋简体" w:eastAsia="方正小标宋简体" w:cs="方正小标宋简体"/>
          <w:b w:val="0"/>
          <w:bCs w:val="0"/>
          <w:color w:val="333333"/>
          <w:sz w:val="44"/>
          <w:szCs w:val="44"/>
          <w:shd w:val="clear" w:fill="FFFFFF"/>
        </w:rPr>
        <w:t>企业涉税信息报送有关行政处罚事项的公告》</w:t>
      </w:r>
    </w:p>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60" w:lineRule="exact"/>
        <w:ind w:left="0" w:right="0"/>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shd w:val="clear" w:fill="FFFFFF"/>
        </w:rPr>
        <w:t>的解读</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textAlignment w:val="auto"/>
        <w:rPr>
          <w:rFonts w:hint="eastAsia" w:ascii="仿宋_GB2312" w:hAnsi="仿宋_GB2312" w:eastAsia="仿宋_GB2312" w:cs="仿宋_GB2312"/>
          <w:sz w:val="32"/>
          <w:szCs w:val="32"/>
        </w:rPr>
      </w:pPr>
      <w:r>
        <w:rPr>
          <w:rFonts w:hint="eastAsia" w:ascii="宋体" w:hAnsi="宋体" w:eastAsia="宋体" w:cs="宋体"/>
          <w:color w:val="333333"/>
          <w:sz w:val="24"/>
          <w:szCs w:val="24"/>
          <w:shd w:val="clear" w:fill="FFFFFF"/>
        </w:rPr>
        <w:t>　</w:t>
      </w:r>
      <w:r>
        <w:rPr>
          <w:rFonts w:hint="eastAsia" w:ascii="仿宋_GB2312" w:hAnsi="仿宋_GB2312" w:eastAsia="仿宋_GB2312" w:cs="仿宋_GB2312"/>
          <w:color w:val="333333"/>
          <w:sz w:val="32"/>
          <w:szCs w:val="32"/>
          <w:shd w:val="clear" w:fill="FFFFFF"/>
        </w:rPr>
        <w:t>　 为落实《互联网平台企业涉税信息报送规定》（以下简称《规定》），国家税务总局、工业和信息化部、国家互联网信息办公室联合制发《关于规范互联网平台企业涉税信息报送有关行政处罚事项的公告》（2025年第22号）（以下简称《公告》）。现解读如下：</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一、《公告》制发的背景是什么？</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规定》自2025年6月20日施行，为保障互联网平台企业合法权益，规范税务机关执法行为，促进互联网平台企业依法依规报送涉税信息，税务总局、工业和信息化部、国家网信办联合制发《公告》，细化明确《规定》中的处罚要求和处罚事项。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二、《公告》主要内容有哪些？</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《公告》围绕“适用情形、处罚主体、处罚措施”三方面，细化对违法互联网平台企业的处罚事项。主要内容如下：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关于“适用情形”。</w:t>
      </w:r>
      <w:r>
        <w:rPr>
          <w:rFonts w:hint="eastAsia" w:ascii="仿宋_GB2312" w:hAnsi="仿宋_GB2312" w:eastAsia="仿宋_GB2312" w:cs="仿宋_GB2312"/>
          <w:color w:val="333333"/>
          <w:sz w:val="32"/>
          <w:szCs w:val="32"/>
          <w:shd w:val="clear" w:fill="FFFFFF"/>
        </w:rPr>
        <w:t>一方面，鼓励互联网平台企业及时纠正违法行为，对在税务机关责令限改期内改正的，不予处罚；另一方面，规范税务机关执法行为，引导互联网平台企业合规报数，明确了《规定》中“情节严重”的具体情形。</w:t>
      </w:r>
      <w:r>
        <w:rPr>
          <w:rStyle w:val="7"/>
          <w:rFonts w:hint="eastAsia" w:ascii="仿宋_GB2312" w:hAnsi="仿宋_GB2312" w:eastAsia="仿宋_GB2312" w:cs="仿宋_GB2312"/>
          <w:color w:val="333333"/>
          <w:sz w:val="32"/>
          <w:szCs w:val="32"/>
          <w:shd w:val="clear" w:fill="FFFFFF"/>
        </w:rPr>
        <w:t>关于“处罚主体”。</w:t>
      </w:r>
      <w:r>
        <w:rPr>
          <w:rFonts w:hint="eastAsia" w:ascii="仿宋_GB2312" w:hAnsi="仿宋_GB2312" w:eastAsia="仿宋_GB2312" w:cs="仿宋_GB2312"/>
          <w:color w:val="333333"/>
          <w:sz w:val="32"/>
          <w:szCs w:val="32"/>
          <w:shd w:val="clear" w:fill="FFFFFF"/>
        </w:rPr>
        <w:t>按照违法行为的情节轻重，分别由互联网平台企业主管税务机关对一般违法行为实施处罚，省级以上税务机关对严重违法行为实施责令停业整顿并处罚款。</w:t>
      </w:r>
      <w:r>
        <w:rPr>
          <w:rStyle w:val="7"/>
          <w:rFonts w:hint="eastAsia" w:ascii="仿宋_GB2312" w:hAnsi="仿宋_GB2312" w:eastAsia="仿宋_GB2312" w:cs="仿宋_GB2312"/>
          <w:color w:val="333333"/>
          <w:sz w:val="32"/>
          <w:szCs w:val="32"/>
          <w:shd w:val="clear" w:fill="FFFFFF"/>
        </w:rPr>
        <w:t>关于“处罚措施”。</w:t>
      </w:r>
      <w:r>
        <w:rPr>
          <w:rFonts w:hint="eastAsia" w:ascii="仿宋_GB2312" w:hAnsi="仿宋_GB2312" w:eastAsia="仿宋_GB2312" w:cs="仿宋_GB2312"/>
          <w:color w:val="333333"/>
          <w:sz w:val="32"/>
          <w:szCs w:val="32"/>
          <w:shd w:val="clear" w:fill="FFFFFF"/>
        </w:rPr>
        <w:t>对被停业整顿的互联网平台企业，税务机关将采取系列措施：一是通过停止发票领用、降低发票额度等方式，限制其开具发票，并在其他企业向其开具发票时进行风险预警提示；二是通过门户网站、新闻媒体、微信公众号等渠道通报相关互联网平台企业的违法事实和处罚决定；三是按程序提请相关监管部门依法对违法互联网平台企业采取有关处置措施。此外，对在停业整顿期内积极整改，依法依规完成涉税信息报送的，经税务机关确认后，及时停止相关处罚措施。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三、违法次数如何认定？</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对未按照规定期限报送、提供涉税信息或者漏报、瞒报、谎报涉税信息的，按违法行为次数予以认定。互联网平台企业发生违法行为被税务机关发现且未在责令限改期限内改正的，记为一次。其中未按照规定期限报送、提供涉税信息或者漏报涉税信息的，按连续12个月累计；对瞒报、谎报涉税信息的，按互联网平台企业存续期间累计。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四、《公告》所称分拆收入包括哪些情形，税务机关如何处理？</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4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《公告》所称分拆收入是指互联网平台内经营者实施不具有合理商业目的的安排，将本属于同一纳税主体的收入分散至多个纳税主体，以达到减少、免除或推迟缴纳税款的目的。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对于分拆收入的平台内经营者，税务部门将依法向其追缴税款、滞纳金并处以罚款。特别是平台企业策划、协助、诱导、教唆平台内经营者分拆收入导致报送涉税信息不真实、不准确、不完整的，《公告》将其明确为《规定》第十条“情节严重”的情形之一，税务机关将作出责令停业整顿的行政处罚。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五、被停业整顿的互联网平台企业在完成整改后，应向哪级税务机关提出解除停业整顿处罚措施的申请？</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为落实《优化营商环境条例》精神，帮助整改后的互联网平台企业及时恢复经营，从便利纳税人角度考虑，由主管税务机关受理解除停业整顿处罚措施的申请。企业在按照《规定》要求依法完成向税务机关报送涉税信息后，向主管税务机关提出解除申请。主管税务机关核实后，报作出责令停业整顿决定的税务机关解除。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r>
        <w:rPr>
          <w:rStyle w:val="7"/>
          <w:rFonts w:hint="eastAsia" w:ascii="仿宋_GB2312" w:hAnsi="仿宋_GB2312" w:eastAsia="仿宋_GB2312" w:cs="仿宋_GB2312"/>
          <w:color w:val="333333"/>
          <w:sz w:val="32"/>
          <w:szCs w:val="32"/>
          <w:shd w:val="clear" w:fill="FFFFFF"/>
        </w:rPr>
        <w:t>六、关于《公告》的实施日期</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国家税务总局关于互联网平台企业报送涉税信息有关事项的公告》（2025年第15号）明确了互联网平台企业首次报送平台内的经营者和从业人员的身份信息、收入信息时间，为配合做好落实，《公告》自发布之日起施行。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D7C77"/>
    <w:rsid w:val="10BD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ascii="微软雅黑" w:hAnsi="微软雅黑" w:eastAsia="微软雅黑" w:cs="微软雅黑"/>
      <w:color w:val="333333"/>
      <w:u w:val="none"/>
    </w:rPr>
  </w:style>
  <w:style w:type="character" w:styleId="9">
    <w:name w:val="Hyperlink"/>
    <w:basedOn w:val="6"/>
    <w:uiPriority w:val="0"/>
    <w:rPr>
      <w:rFonts w:hint="eastAsia" w:ascii="微软雅黑" w:hAnsi="微软雅黑" w:eastAsia="微软雅黑" w:cs="微软雅黑"/>
      <w:color w:val="333333"/>
      <w:u w:val="none"/>
    </w:rPr>
  </w:style>
  <w:style w:type="character" w:styleId="10">
    <w:name w:val="HTML Code"/>
    <w:basedOn w:val="6"/>
    <w:uiPriority w:val="0"/>
    <w:rPr>
      <w:rFonts w:ascii="Courier New" w:hAnsi="Courier New"/>
      <w:sz w:val="20"/>
      <w:bdr w:val="none" w:color="auto" w:sz="0" w:space="0"/>
    </w:rPr>
  </w:style>
  <w:style w:type="character" w:customStyle="1" w:styleId="11">
    <w:name w:val="prev3"/>
    <w:basedOn w:val="6"/>
    <w:uiPriority w:val="0"/>
  </w:style>
  <w:style w:type="character" w:customStyle="1" w:styleId="12">
    <w:name w:val="hover5"/>
    <w:basedOn w:val="6"/>
    <w:uiPriority w:val="0"/>
  </w:style>
  <w:style w:type="character" w:customStyle="1" w:styleId="13">
    <w:name w:val="hover6"/>
    <w:basedOn w:val="6"/>
    <w:uiPriority w:val="0"/>
  </w:style>
  <w:style w:type="character" w:customStyle="1" w:styleId="14">
    <w:name w:val="next4"/>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2025-10-29T06:47:00Z</dcterms:created>
  <dc:creator>吕金垚</dc:creator>
  <cp:lastModifiedBy>吕金垚</cp:lastModifiedBy>
  <dcterms:modified xsi:type="dcterms:W3CDTF">2025-10-29T07:17:05Z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