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640" w:lineRule="exact"/>
        <w:ind w:left="0" w:right="0"/>
        <w:jc w:val="center"/>
        <w:textAlignment w:val="auto"/>
        <w:rPr>
          <w:rFonts w:hint="eastAsia" w:ascii="方正小标宋简体" w:hAnsi="方正小标宋简体" w:eastAsia="方正小标宋简体" w:cs="方正小标宋简体"/>
          <w:b w:val="0"/>
          <w:bCs w:val="0"/>
          <w:color w:val="333333"/>
          <w:sz w:val="44"/>
          <w:szCs w:val="44"/>
          <w:shd w:val="clear" w:fill="FFFFFF"/>
        </w:rPr>
      </w:pPr>
      <w:r>
        <w:rPr>
          <w:rFonts w:hint="eastAsia" w:ascii="方正小标宋简体" w:hAnsi="方正小标宋简体" w:eastAsia="方正小标宋简体" w:cs="方正小标宋简体"/>
          <w:b w:val="0"/>
          <w:bCs w:val="0"/>
          <w:color w:val="333333"/>
          <w:sz w:val="44"/>
          <w:szCs w:val="44"/>
          <w:shd w:val="clear" w:fill="FFFFFF"/>
        </w:rPr>
        <w:t>财政部 税务总局 住房城乡建设部</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640" w:lineRule="exact"/>
        <w:ind w:left="0" w:right="0"/>
        <w:jc w:val="center"/>
        <w:textAlignment w:val="auto"/>
        <w:rPr>
          <w:rFonts w:hint="eastAsia" w:ascii="方正小标宋简体" w:hAnsi="方正小标宋简体" w:eastAsia="方正小标宋简体" w:cs="方正小标宋简体"/>
          <w:b w:val="0"/>
          <w:bCs w:val="0"/>
          <w:color w:val="333333"/>
          <w:sz w:val="44"/>
          <w:szCs w:val="44"/>
          <w:shd w:val="clear" w:fill="FFFFFF"/>
        </w:rPr>
      </w:pPr>
      <w:bookmarkStart w:id="0" w:name="_GoBack"/>
      <w:r>
        <w:rPr>
          <w:rFonts w:hint="eastAsia" w:ascii="方正小标宋简体" w:hAnsi="方正小标宋简体" w:eastAsia="方正小标宋简体" w:cs="方正小标宋简体"/>
          <w:b w:val="0"/>
          <w:bCs w:val="0"/>
          <w:color w:val="333333"/>
          <w:sz w:val="44"/>
          <w:szCs w:val="44"/>
          <w:shd w:val="clear" w:fill="FFFFFF"/>
        </w:rPr>
        <w:t>关于促进房地产市场平稳健康发展有关</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640" w:lineRule="exact"/>
        <w:ind w:left="0" w:right="0"/>
        <w:jc w:val="center"/>
        <w:textAlignment w:val="auto"/>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shd w:val="clear" w:fill="FFFFFF"/>
        </w:rPr>
        <w:t>税收政策的公告</w:t>
      </w:r>
    </w:p>
    <w:bookmarkEnd w:id="0"/>
    <w:p>
      <w:pPr>
        <w:pStyle w:val="3"/>
        <w:keepNext w:val="0"/>
        <w:keepLines w:val="0"/>
        <w:widowControl/>
        <w:suppressLineNumbers w:val="0"/>
        <w:spacing w:before="0" w:beforeAutospacing="0" w:after="300" w:afterAutospacing="0"/>
        <w:ind w:left="0" w:right="0"/>
        <w:jc w:val="center"/>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 xml:space="preserve">财政部 税务总局 住房城乡建设部公告2024年第16号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Fonts w:hint="eastAsia" w:ascii="宋体" w:hAnsi="宋体" w:eastAsia="宋体" w:cs="宋体"/>
          <w:color w:val="333333"/>
          <w:sz w:val="24"/>
          <w:szCs w:val="24"/>
          <w:shd w:val="clear" w:fill="FFFFFF"/>
        </w:rPr>
        <w:t>　</w:t>
      </w:r>
      <w:r>
        <w:rPr>
          <w:rFonts w:hint="eastAsia" w:ascii="仿宋_GB2312" w:hAnsi="仿宋_GB2312" w:eastAsia="仿宋_GB2312" w:cs="仿宋_GB2312"/>
          <w:color w:val="333333"/>
          <w:sz w:val="32"/>
          <w:szCs w:val="32"/>
          <w:shd w:val="clear" w:fill="FFFFFF"/>
        </w:rPr>
        <w:t>　为促进房地产市场平稳健康发展，现就相关税收政策公告如下：</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一、关于住房交易契税政策</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（一）对个人购买家庭唯一住房（家庭成员范围包括购房人、配偶以及未成年子女，下同），面积为140平方米及以下的，减按1%的税率征收契税；面积为140平方米以上的，减按1.5%的税率征收契税。</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（二）对个人购买家庭第二套住房，面积为140平方米及以下的，减按1%的税率征收契税；面积为140平方米以上的，减按2%的税率征收契税。</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家庭第二套住房是指已拥有一套住房的家庭购买的第二套住房。</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三）纳税人申请享受税收优惠的，应当向主管税务机关提交家庭成员信息证明和购房所在地的房地产管理部门出具的纳税人家庭住房情况书面查询结果。具备部门信息共享条件的，纳税人可授权主管税务机关通过信息共享方式取得相关信息；不具备信息共享条件，且纳税人不能提交相关证明材料的，纳税人可按规定适用告知承诺制办理，报送相应的《税务证明事项告知承诺书》，并对承诺的真实性承担法律责任。</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（四）具体操作办法由各省、自治区、直辖市财政、税务、房地产管理部门制定。</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二、关于有关城市取消普通住宅和非普通住宅标准后相关土地增值税、增值税政策</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（一）取消普通住宅和非普通住宅标准的城市，根据《中华人民共和国土地增值税暂行条例》第八条第一项，纳税人建造普通标准住宅出售，增值额未超过扣除项目金额20%的，继续免征土地增值税。</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根据《中华人民共和国土地增值税暂行条例实施细则》第十一条，有关城市的具体执行标准由各省、自治区、直辖市人民政府规定。具体执行标准公布后，税务机关新受理清算申报的项目，以及在具体执行标准公布前已受理清算申报但未出具清算审核结论的项目，按新公布的标准执行。具体执行标准公布前出具清算审核结论的项目，仍按原标准执行。</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二）北京市、上海市、广州市和深圳市，凡取消普通住宅和非普通住宅标准的，取消普通住宅和非普通住宅标准后，与全国其他地区适用统一的个人销售住房增值税政策，对该城市个人将购买2年以上（含2年）的住房对外销售的，免征增值税。《财政部 国家税务总局关于全面推开营业税改征增值税试点的通知》（财税〔2016〕36号）附件3《营业税改征增值税试点过渡政策的规定》第五条第一款有关内容和第二款相应停止执行。</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三、本公告自2024年12月1日起执行。《财政部 国家税务总局 住房城乡建设部关于调整房地产交易环节契税 营业税优惠政策的通知》（财税〔2016〕23号）同时废止。2024年12月1日前，个人销售、购买住房涉及的增值税、契税尚未申报缴纳的，符合本公告规定的可按本公告执行。</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特此公告。</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财政部  税务总局  住房城乡建设部</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2024年11月12日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E426B"/>
    <w:rsid w:val="7A3E4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54"/>
      <w:szCs w:val="54"/>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42"/>
      <w:szCs w:val="42"/>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styleId="7">
    <w:name w:val="FollowedHyperlink"/>
    <w:basedOn w:val="6"/>
    <w:uiPriority w:val="0"/>
    <w:rPr>
      <w:rFonts w:hint="eastAsia" w:ascii="微软雅黑" w:hAnsi="微软雅黑" w:eastAsia="微软雅黑" w:cs="微软雅黑"/>
      <w:color w:val="333333"/>
      <w:u w:val="none"/>
    </w:rPr>
  </w:style>
  <w:style w:type="character" w:styleId="8">
    <w:name w:val="Hyperlink"/>
    <w:basedOn w:val="6"/>
    <w:uiPriority w:val="0"/>
    <w:rPr>
      <w:rFonts w:ascii="微软雅黑" w:hAnsi="微软雅黑" w:eastAsia="微软雅黑" w:cs="微软雅黑"/>
      <w:color w:val="333333"/>
      <w:u w:val="none"/>
    </w:rPr>
  </w:style>
  <w:style w:type="character" w:styleId="9">
    <w:name w:val="HTML Code"/>
    <w:basedOn w:val="6"/>
    <w:uiPriority w:val="0"/>
    <w:rPr>
      <w:rFonts w:ascii="Courier New" w:hAnsi="Courier New"/>
      <w:sz w:val="20"/>
      <w:bdr w:val="none" w:color="auto" w:sz="0" w:space="0"/>
    </w:rPr>
  </w:style>
  <w:style w:type="character" w:customStyle="1" w:styleId="10">
    <w:name w:val="hover5"/>
    <w:basedOn w:val="6"/>
    <w:uiPriority w:val="0"/>
  </w:style>
  <w:style w:type="character" w:customStyle="1" w:styleId="11">
    <w:name w:val="hover6"/>
    <w:basedOn w:val="6"/>
    <w:uiPriority w:val="0"/>
  </w:style>
  <w:style w:type="character" w:customStyle="1" w:styleId="12">
    <w:name w:val="next"/>
    <w:basedOn w:val="6"/>
    <w:uiPriority w:val="0"/>
  </w:style>
  <w:style w:type="character" w:customStyle="1" w:styleId="13">
    <w:name w:val="prev4"/>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2024-11-18T07:15:00Z</dcterms:created>
  <dc:creator>吕金垚</dc:creator>
  <cp:lastModifiedBy>吕金垚</cp:lastModifiedBy>
  <dcterms:modified xsi:type="dcterms:W3CDTF">2024-11-18T07:18:09Z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