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bookmarkStart w:id="77" w:name="_GoBack"/>
      <w:bookmarkEnd w:id="77"/>
    </w:p>
    <w:p>
      <w:pPr>
        <w:jc w:val="center"/>
        <w:rPr>
          <w:rFonts w:hint="eastAsia"/>
          <w:b/>
          <w:bCs/>
          <w:sz w:val="56"/>
          <w:szCs w:val="40"/>
          <w:lang w:eastAsia="zh-CN"/>
        </w:rPr>
      </w:pPr>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r>
        <w:rPr>
          <w:rFonts w:hint="eastAsia"/>
          <w:b/>
          <w:bCs/>
          <w:sz w:val="56"/>
          <w:szCs w:val="40"/>
          <w:lang w:val="en-US" w:eastAsia="zh-CN"/>
        </w:rPr>
        <w:t>三次</w:t>
      </w:r>
      <w:r>
        <w:rPr>
          <w:rFonts w:hint="eastAsia"/>
          <w:b/>
          <w:bCs/>
          <w:sz w:val="56"/>
          <w:szCs w:val="40"/>
          <w:lang w:eastAsia="zh-CN"/>
        </w:rPr>
        <w:t>）</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十二</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4</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19</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24</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 w:val="28"/>
          <w:szCs w:val="28"/>
          <w:lang w:val="zh-CN"/>
        </w:rPr>
        <w:t>合同与验收</w:t>
      </w:r>
      <w:r>
        <w:tab/>
      </w:r>
      <w:r>
        <w:fldChar w:fldCharType="begin"/>
      </w:r>
      <w:r>
        <w:instrText xml:space="preserve"> PAGEREF _Toc2017 \h </w:instrText>
      </w:r>
      <w:r>
        <w:fldChar w:fldCharType="separate"/>
      </w:r>
      <w:r>
        <w:t>33</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200874938"/>
      <w:bookmarkStart w:id="1" w:name="_Toc332205941"/>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r>
        <w:rPr>
          <w:rFonts w:hint="eastAsia"/>
          <w:b/>
          <w:bCs/>
          <w:i w:val="0"/>
          <w:iCs w:val="0"/>
          <w:caps w:val="0"/>
          <w:color w:val="383940"/>
          <w:spacing w:val="0"/>
          <w:sz w:val="28"/>
          <w:szCs w:val="28"/>
          <w:shd w:val="clear" w:color="auto" w:fill="FFFFFF"/>
          <w:vertAlign w:val="baseline"/>
          <w:lang w:val="en-US" w:eastAsia="zh-CN"/>
        </w:rPr>
        <w:t>三次</w:t>
      </w:r>
      <w:r>
        <w:rPr>
          <w:rFonts w:hint="eastAsia"/>
          <w:b/>
          <w:bCs/>
          <w:i w:val="0"/>
          <w:iCs w:val="0"/>
          <w:caps w:val="0"/>
          <w:color w:val="383940"/>
          <w:spacing w:val="0"/>
          <w:sz w:val="28"/>
          <w:szCs w:val="28"/>
          <w:shd w:val="clear" w:color="auto" w:fill="FFFFFF"/>
          <w:vertAlign w:val="baseli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机关食堂食材采购项目（三次）</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机关食堂食材采购项目（三次）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383838"/>
          <w:spacing w:val="0"/>
          <w:sz w:val="24"/>
          <w:szCs w:val="24"/>
          <w:highlight w:val="none"/>
          <w:shd w:val="clear" w:color="auto" w:fill="FFFFFF"/>
          <w:vertAlign w:val="baseline"/>
        </w:rPr>
        <w:t>时间：202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16</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22</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26</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26</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w:t>
            </w:r>
            <w:r>
              <w:rPr>
                <w:rFonts w:hint="eastAsia" w:ascii="宋体" w:hAnsi="宋体" w:cs="宋体"/>
                <w:kern w:val="0"/>
                <w:sz w:val="24"/>
                <w:szCs w:val="24"/>
                <w:highlight w:val="none"/>
                <w:lang w:val="en-US" w:eastAsia="zh-CN"/>
              </w:rPr>
              <w:t>批发业</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8363_WPSOffice_Level2"/>
            <w:bookmarkStart w:id="8" w:name="_Toc266431117"/>
            <w:bookmarkStart w:id="9" w:name="_Toc9471"/>
            <w:bookmarkStart w:id="10" w:name="_Toc422403355"/>
            <w:bookmarkStart w:id="11" w:name="_Toc3053_WPSOffice_Level2"/>
            <w:bookmarkStart w:id="12" w:name="_Toc7877_WPSOffice_Level2"/>
            <w:bookmarkStart w:id="13" w:name="_Toc26828"/>
            <w:bookmarkStart w:id="14" w:name="_Toc14168_WPSOffice_Level2"/>
            <w:bookmarkStart w:id="15" w:name="_Toc13480"/>
            <w:bookmarkStart w:id="16" w:name="_Toc28419_WPSOffice_Level2"/>
            <w:bookmarkStart w:id="17" w:name="_Toc22692_WPSOffice_Level2"/>
            <w:bookmarkStart w:id="18" w:name="_Toc20569"/>
            <w:bookmarkStart w:id="19" w:name="_Toc27706"/>
            <w:bookmarkStart w:id="20" w:name="_Toc22901_WPSOffice_Level2"/>
            <w:bookmarkStart w:id="21" w:name="_Toc32082"/>
            <w:bookmarkStart w:id="22" w:name="_Toc447030613"/>
            <w:bookmarkStart w:id="23" w:name="_Toc266431157"/>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3337_WPSOffice_Level3"/>
      <w:bookmarkStart w:id="26" w:name="_Toc54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 xml:space="preserve">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w:t>
      </w:r>
      <w:r>
        <w:rPr>
          <w:rFonts w:hint="eastAsia" w:ascii="宋体" w:hAnsi="宋体"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.2如成交供应商有下列情形之一的，采购代理机构可从磋商小组推荐的成交候选供应商中按顺序重新确定成交供应商或重新组织采购。拒绝签订政府采购合同的成交供应商不得参加对该项目重新开展的采购活动。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3910"/>
      <w:bookmarkStart w:id="32" w:name="_Toc609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bookmarkEnd w:id="31"/>
      <w:bookmarkEnd w:id="32"/>
      <w:bookmarkEnd w:id="35"/>
      <w:r>
        <w:rPr>
          <w:rFonts w:hint="eastAsia" w:ascii="宋体" w:hAnsi="宋体" w:eastAsia="宋体"/>
          <w:bCs w:val="0"/>
          <w:kern w:val="2"/>
          <w:sz w:val="28"/>
          <w:szCs w:val="28"/>
          <w:lang w:val="zh-CN"/>
        </w:rPr>
        <w:t>合同与验收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一.合同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eastAsia" w:ascii="宋体" w:hAnsi="宋体" w:eastAsia="宋体" w:cs="宋体"/>
          <w:color w:val="222222"/>
          <w:spacing w:val="7"/>
          <w:sz w:val="24"/>
          <w:szCs w:val="24"/>
          <w:lang w:val="en-US" w:eastAsia="zh-CN"/>
        </w:rPr>
        <w:t xml:space="preserve">1.合同要求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lang w:val="en-US" w:eastAsia="zh-CN"/>
        </w:rPr>
      </w:pPr>
      <w:r>
        <w:rPr>
          <w:rFonts w:hint="default" w:ascii="宋体" w:hAnsi="宋体" w:eastAsia="宋体" w:cs="宋体"/>
          <w:color w:val="222222"/>
          <w:spacing w:val="7"/>
          <w:sz w:val="24"/>
          <w:szCs w:val="24"/>
          <w:lang w:val="en-US" w:eastAsia="zh-CN"/>
        </w:rPr>
        <w:t>1.1</w:t>
      </w:r>
      <w:r>
        <w:rPr>
          <w:rFonts w:hint="eastAsia" w:ascii="宋体" w:hAnsi="宋体" w:eastAsia="宋体" w:cs="宋体"/>
          <w:color w:val="222222"/>
          <w:spacing w:val="7"/>
          <w:sz w:val="24"/>
          <w:szCs w:val="24"/>
          <w:lang w:val="en-US" w:eastAsia="zh-CN"/>
        </w:rPr>
        <w:t>采购人应当自中标（成交）通知书发出之日起</w:t>
      </w:r>
      <w:r>
        <w:rPr>
          <w:rFonts w:hint="default" w:ascii="宋体" w:hAnsi="宋体" w:eastAsia="宋体" w:cs="宋体"/>
          <w:color w:val="222222"/>
          <w:spacing w:val="7"/>
          <w:sz w:val="24"/>
          <w:szCs w:val="24"/>
          <w:lang w:val="en-US" w:eastAsia="zh-CN"/>
        </w:rPr>
        <w:t>30</w:t>
      </w:r>
      <w:r>
        <w:rPr>
          <w:rFonts w:hint="eastAsia" w:ascii="宋体" w:hAnsi="宋体" w:eastAsia="宋体" w:cs="宋体"/>
          <w:color w:val="222222"/>
          <w:spacing w:val="7"/>
          <w:sz w:val="24"/>
          <w:szCs w:val="24"/>
          <w:lang w:val="en-US" w:eastAsia="zh-CN"/>
        </w:rPr>
        <w:t xml:space="preserve">日内，按照综合磋商文件和中标（成交）供应商响应文件的规定，与中标（成交）供应商签订书面合同。所签订的合同不得对综合磋商文件确定的事项作实质性修改。采购人、供应商不得提出任何不合理的要求作为签订合同的条件。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bCs w:val="0"/>
          <w:kern w:val="2"/>
          <w:sz w:val="28"/>
          <w:szCs w:val="28"/>
          <w:lang w:val="zh-CN"/>
        </w:rPr>
      </w:pPr>
      <w:r>
        <w:rPr>
          <w:rFonts w:hint="default" w:ascii="宋体" w:hAnsi="宋体" w:eastAsia="宋体" w:cs="宋体"/>
          <w:color w:val="222222"/>
          <w:spacing w:val="7"/>
          <w:sz w:val="24"/>
          <w:szCs w:val="24"/>
          <w:lang w:val="en-US" w:eastAsia="zh-CN"/>
        </w:rPr>
        <w:t>1.</w:t>
      </w:r>
      <w:r>
        <w:rPr>
          <w:rFonts w:hint="eastAsia" w:ascii="宋体" w:hAnsi="宋体" w:eastAsia="宋体" w:cs="宋体"/>
          <w:color w:val="222222"/>
          <w:spacing w:val="7"/>
          <w:sz w:val="24"/>
          <w:szCs w:val="24"/>
          <w:lang w:val="en-US" w:eastAsia="zh-CN"/>
        </w:rPr>
        <w:t>2采购人与中标（成交）供应商应当根据合同的约定依法履行合同义务。采购合同的履行、违约责任和解决争议的方法等适用《中华人民共和国民法典》。采购合同的双方当事人不得擅自变更、中止或者终止合同。</w:t>
      </w:r>
      <w:r>
        <w:rPr>
          <w:rFonts w:hint="eastAsia" w:ascii="宋体" w:hAnsi="宋体" w:eastAsia="宋体"/>
          <w:bCs w:val="0"/>
          <w:kern w:val="2"/>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32612"/>
      <w:bookmarkStart w:id="37" w:name="_Toc24209"/>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keepNext w:val="0"/>
        <w:keepLines w:val="0"/>
        <w:pageBreakBefore w:val="0"/>
        <w:widowControl w:val="0"/>
        <w:kinsoku/>
        <w:wordWrap/>
        <w:overflowPunct/>
        <w:topLinePunct w:val="0"/>
        <w:autoSpaceDE/>
        <w:autoSpaceDN/>
        <w:bidi w:val="0"/>
        <w:adjustRightInd/>
        <w:snapToGrid/>
        <w:spacing w:line="500" w:lineRule="atLeast"/>
        <w:ind w:right="0"/>
        <w:textAlignment w:val="auto"/>
        <w:rPr>
          <w:rFonts w:ascii="宋体" w:hAnsi="宋体" w:eastAsia="宋体" w:cs="宋体"/>
          <w:color w:val="222222"/>
          <w:spacing w:val="7"/>
          <w:sz w:val="24"/>
          <w:szCs w:val="24"/>
        </w:rPr>
      </w:pPr>
      <w:bookmarkStart w:id="39" w:name="_Toc20071"/>
      <w:bookmarkStart w:id="40" w:name="_Toc29758"/>
      <w:bookmarkStart w:id="41" w:name="_Toc8282"/>
      <w:r>
        <w:rPr>
          <w:rFonts w:ascii="宋体" w:hAnsi="宋体" w:eastAsia="宋体" w:cs="宋体"/>
          <w:color w:val="222222"/>
          <w:spacing w:val="7"/>
          <w:sz w:val="24"/>
          <w:szCs w:val="24"/>
        </w:rPr>
        <w:t>二.验收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严格按照采购合同开展履约验收。采购人应当按照采购合同的约定对</w:t>
      </w:r>
      <w:r>
        <w:rPr>
          <w:rFonts w:hint="eastAsia" w:ascii="宋体" w:hAnsi="宋体" w:eastAsia="宋体" w:cs="宋体"/>
          <w:color w:val="222222"/>
          <w:spacing w:val="7"/>
          <w:sz w:val="24"/>
          <w:szCs w:val="24"/>
          <w:lang w:val="en-US" w:eastAsia="zh-CN"/>
        </w:rPr>
        <w:t>供应商</w:t>
      </w:r>
      <w:r>
        <w:rPr>
          <w:rFonts w:ascii="宋体" w:hAnsi="宋体" w:eastAsia="宋体" w:cs="宋体"/>
          <w:color w:val="222222"/>
          <w:spacing w:val="7"/>
          <w:sz w:val="24"/>
          <w:szCs w:val="24"/>
        </w:rPr>
        <w:t>履约情况进行验收。验收时，应当按照采购合同的约定标准的履约情况进行确认。验收结束后，应当出具验收书，由验收双方共同签署。</w:t>
      </w: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b/>
          <w:bCs/>
          <w:sz w:val="52"/>
          <w:szCs w:val="52"/>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jc w:val="center"/>
        <w:rPr>
          <w:rFonts w:hint="eastAsia" w:cs="宋体"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国家税务总局乌拉特前旗税务局局机关</w:t>
      </w:r>
    </w:p>
    <w:p>
      <w:pPr>
        <w:spacing w:line="360" w:lineRule="auto"/>
        <w:jc w:val="center"/>
        <w:rPr>
          <w:rFonts w:hint="eastAsia" w:cs="宋体"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食堂食材采购项目（三次）</w:t>
      </w: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hint="eastAsia" w:cs="宋体" w:asciiTheme="minorEastAsia" w:hAnsiTheme="minorEastAsia" w:eastAsiaTheme="minorEastAsia"/>
          <w:b/>
          <w:bCs/>
          <w:kern w:val="0"/>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r>
        <w:rPr>
          <w:rFonts w:hint="eastAsia" w:cs="楷体_GB2312" w:asciiTheme="minorEastAsia" w:hAnsiTheme="minorEastAsia" w:eastAsiaTheme="minorEastAsia"/>
          <w:sz w:val="28"/>
          <w:szCs w:val="28"/>
          <w:lang w:val="en-US"/>
        </w:rPr>
        <w:t>NMG</w:t>
      </w:r>
      <w:r>
        <w:rPr>
          <w:rFonts w:hint="eastAsia" w:cs="楷体_GB2312" w:asciiTheme="minorEastAsia" w:hAnsiTheme="minorEastAsia" w:eastAsiaTheme="minorEastAsia"/>
          <w:sz w:val="28"/>
          <w:szCs w:val="28"/>
          <w:lang w:val="en-US" w:eastAsia="zh-CN"/>
        </w:rPr>
        <w:t>CB</w:t>
      </w:r>
      <w:r>
        <w:rPr>
          <w:rFonts w:hint="eastAsia" w:cs="楷体_GB2312" w:asciiTheme="minorEastAsia" w:hAnsiTheme="minorEastAsia" w:eastAsiaTheme="minorEastAsia"/>
          <w:sz w:val="28"/>
          <w:szCs w:val="28"/>
          <w:lang w:val="en-US"/>
        </w:rPr>
        <w:t>-</w:t>
      </w:r>
      <w:r>
        <w:rPr>
          <w:rFonts w:hint="eastAsia" w:cs="楷体_GB2312" w:asciiTheme="minorEastAsia" w:hAnsiTheme="minorEastAsia" w:eastAsiaTheme="minorEastAsia"/>
          <w:sz w:val="28"/>
          <w:szCs w:val="28"/>
          <w:lang w:val="en-US" w:eastAsia="zh-CN"/>
        </w:rPr>
        <w:t>2025</w:t>
      </w:r>
      <w:r>
        <w:rPr>
          <w:rFonts w:hint="eastAsia" w:cs="楷体_GB2312" w:asciiTheme="minorEastAsia" w:hAnsiTheme="minorEastAsia" w:eastAsiaTheme="minorEastAsia"/>
          <w:sz w:val="28"/>
          <w:szCs w:val="28"/>
          <w:lang w:val="en-US"/>
        </w:rPr>
        <w:t>-</w:t>
      </w:r>
      <w:r>
        <w:rPr>
          <w:rFonts w:hint="eastAsia" w:cs="楷体_GB2312" w:asciiTheme="minorEastAsia" w:hAnsiTheme="minorEastAsia" w:eastAsiaTheme="minorEastAsia"/>
          <w:sz w:val="28"/>
          <w:szCs w:val="28"/>
          <w:lang w:val="en-US" w:eastAsia="zh-CN"/>
        </w:rPr>
        <w:t>065</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 xml:space="preserve">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国家税务总局乌拉特前旗税务局局机关食堂食材采购项目（三次）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NMG</w:t>
      </w:r>
      <w:r>
        <w:rPr>
          <w:rFonts w:hint="eastAsia" w:ascii="宋体" w:hAnsi="宋体" w:eastAsia="宋体" w:cs="宋体"/>
          <w:sz w:val="24"/>
          <w:szCs w:val="24"/>
          <w:u w:val="single"/>
          <w:lang w:val="en-US" w:eastAsia="zh-CN"/>
        </w:rPr>
        <w:t>CB</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lang w:val="en-US"/>
        </w:rPr>
        <w:t>-</w:t>
      </w:r>
      <w:r>
        <w:rPr>
          <w:rFonts w:hint="eastAsia" w:ascii="宋体" w:hAnsi="宋体" w:eastAsia="宋体" w:cs="宋体"/>
          <w:sz w:val="24"/>
          <w:szCs w:val="24"/>
          <w:u w:val="single"/>
          <w:lang w:val="en-US" w:eastAsia="zh-CN"/>
        </w:rPr>
        <w:t>065</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项目名称：国家税务总局乌拉特前旗税务局局机关食堂食材采购项目（三次）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项目编号：NMGCB-2025-065</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项目名称：国家税务总局乌拉特前旗税务局局机关食堂食材采购项目（三次）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sz w:val="24"/>
          <w:szCs w:val="24"/>
          <w:highlight w:val="none"/>
        </w:rPr>
        <w:t>NMGCB-2025-065</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w:t>
      </w:r>
      <w:r>
        <w:rPr>
          <w:rFonts w:hint="eastAsia" w:ascii="宋体" w:hAnsi="宋体" w:eastAsia="宋体" w:cs="宋体"/>
          <w:b/>
          <w:bCs/>
          <w:sz w:val="24"/>
          <w:szCs w:val="24"/>
          <w:highlight w:val="none"/>
          <w:lang w:eastAsia="zh-CN"/>
        </w:rPr>
        <w:t>需</w:t>
      </w:r>
      <w:r>
        <w:rPr>
          <w:rFonts w:hint="eastAsia" w:ascii="宋体" w:hAnsi="宋体" w:eastAsia="宋体" w:cs="宋体"/>
          <w:b/>
          <w:bCs/>
          <w:sz w:val="24"/>
          <w:szCs w:val="24"/>
          <w:highlight w:val="none"/>
        </w:rPr>
        <w:t>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w:t>
      </w:r>
      <w:r>
        <w:rPr>
          <w:rFonts w:hint="eastAsia" w:ascii="宋体" w:hAnsi="宋体" w:cs="宋体"/>
          <w:sz w:val="24"/>
          <w:szCs w:val="24"/>
          <w:lang w:eastAsia="zh-CN"/>
        </w:rPr>
        <w:t>需</w:t>
      </w:r>
      <w:r>
        <w:rPr>
          <w:rFonts w:hint="eastAsia" w:ascii="宋体" w:hAnsi="宋体" w:eastAsia="宋体" w:cs="宋体"/>
          <w:sz w:val="24"/>
          <w:szCs w:val="24"/>
        </w:rPr>
        <w:t>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sz w:val="24"/>
          <w:szCs w:val="24"/>
          <w:u w:val="single"/>
        </w:rPr>
        <w:t>国家税务总局乌拉特前旗税务局局机关食堂食材采购项目（三次）</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30542_WPSOffice_Level2"/>
      <w:bookmarkStart w:id="62" w:name="_Toc59_WPSOffice_Level2"/>
      <w:bookmarkStart w:id="63" w:name="_Toc1611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spacing w:line="360" w:lineRule="auto"/>
        <w:jc w:val="center"/>
        <w:rPr>
          <w:rFonts w:hint="eastAsia" w:ascii="宋体" w:hAnsi="宋体" w:eastAsia="宋体" w:cs="宋体"/>
          <w:sz w:val="24"/>
          <w:szCs w:val="24"/>
          <w:lang w:val="zh-CN" w:eastAsia="zh-CN"/>
        </w:rPr>
      </w:pPr>
      <w:bookmarkStart w:id="68" w:name="_Toc23858_WPSOffice_Level2"/>
      <w:bookmarkStart w:id="69" w:name="_Toc20372_WPSOffice_Level3"/>
      <w:bookmarkStart w:id="70" w:name="_Toc23202_WPSOffice_Level3"/>
      <w:bookmarkStart w:id="71" w:name="_Toc1999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68"/>
    <w:bookmarkEnd w:id="69"/>
    <w:bookmarkEnd w:id="70"/>
    <w:bookmarkEnd w:id="71"/>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pStyle w:val="5"/>
        <w:bidi w:val="0"/>
        <w:spacing w:line="360" w:lineRule="auto"/>
        <w:rPr>
          <w:rFonts w:hint="eastAsia" w:ascii="宋体" w:hAnsi="宋体" w:eastAsia="宋体" w:cs="宋体"/>
          <w:b/>
          <w:bCs/>
          <w:sz w:val="24"/>
          <w:szCs w:val="24"/>
          <w:highlight w:val="none"/>
        </w:rPr>
      </w:pPr>
      <w:bookmarkStart w:id="72" w:name="_Toc1474"/>
      <w:r>
        <w:rPr>
          <w:rFonts w:hint="eastAsia" w:ascii="宋体" w:hAnsi="宋体" w:eastAsia="宋体" w:cs="宋体"/>
          <w:b/>
          <w:bCs/>
          <w:sz w:val="24"/>
          <w:szCs w:val="24"/>
          <w:highlight w:val="none"/>
        </w:rPr>
        <w:t>供应商业绩情况表</w:t>
      </w:r>
      <w:bookmarkEnd w:id="72"/>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73" w:name="_Toc438714733"/>
      <w:bookmarkStart w:id="74" w:name="_Toc482026557"/>
      <w:bookmarkStart w:id="75" w:name="_Toc438655703"/>
    </w:p>
    <w:bookmarkEnd w:id="73"/>
    <w:bookmarkEnd w:id="74"/>
    <w:bookmarkEnd w:id="75"/>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76" w:name="_Toc19620"/>
      <w:r>
        <w:rPr>
          <w:rFonts w:hint="eastAsia" w:ascii="宋体" w:hAnsi="宋体" w:eastAsia="宋体" w:cs="宋体"/>
          <w:b/>
          <w:bCs/>
          <w:sz w:val="24"/>
          <w:szCs w:val="24"/>
          <w:highlight w:val="none"/>
          <w:lang w:val="en-US" w:eastAsia="zh-CN"/>
        </w:rPr>
        <w:t>各类证明材料</w:t>
      </w:r>
      <w:bookmarkEnd w:id="76"/>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6E571C"/>
    <w:rsid w:val="05971EFF"/>
    <w:rsid w:val="05CE386E"/>
    <w:rsid w:val="05E70733"/>
    <w:rsid w:val="06021428"/>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E93E63"/>
    <w:rsid w:val="11FE4D03"/>
    <w:rsid w:val="12893908"/>
    <w:rsid w:val="133D1DBE"/>
    <w:rsid w:val="135F0966"/>
    <w:rsid w:val="136C6C4F"/>
    <w:rsid w:val="139F09FD"/>
    <w:rsid w:val="13A25268"/>
    <w:rsid w:val="13FD5685"/>
    <w:rsid w:val="146249A9"/>
    <w:rsid w:val="148B77EC"/>
    <w:rsid w:val="15204125"/>
    <w:rsid w:val="15D40943"/>
    <w:rsid w:val="15E87235"/>
    <w:rsid w:val="15E95407"/>
    <w:rsid w:val="16A034BC"/>
    <w:rsid w:val="174E2591"/>
    <w:rsid w:val="17614353"/>
    <w:rsid w:val="178C4F32"/>
    <w:rsid w:val="1837509F"/>
    <w:rsid w:val="18730F39"/>
    <w:rsid w:val="187835E0"/>
    <w:rsid w:val="18932C5E"/>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1BA1A2A"/>
    <w:rsid w:val="22006AA3"/>
    <w:rsid w:val="22342FBD"/>
    <w:rsid w:val="223E6B2C"/>
    <w:rsid w:val="229426FA"/>
    <w:rsid w:val="22A70BBA"/>
    <w:rsid w:val="246457B9"/>
    <w:rsid w:val="254D59F1"/>
    <w:rsid w:val="2707420E"/>
    <w:rsid w:val="271D2AA7"/>
    <w:rsid w:val="278C5F98"/>
    <w:rsid w:val="27B23624"/>
    <w:rsid w:val="27BD5880"/>
    <w:rsid w:val="27DD1063"/>
    <w:rsid w:val="28811255"/>
    <w:rsid w:val="28F7227E"/>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0B4CFE"/>
    <w:rsid w:val="3F773EE9"/>
    <w:rsid w:val="41D51A2A"/>
    <w:rsid w:val="42277FF1"/>
    <w:rsid w:val="424B6320"/>
    <w:rsid w:val="43114034"/>
    <w:rsid w:val="4424380E"/>
    <w:rsid w:val="454F1F4D"/>
    <w:rsid w:val="45B80273"/>
    <w:rsid w:val="460709E8"/>
    <w:rsid w:val="46D42E55"/>
    <w:rsid w:val="46DA24AC"/>
    <w:rsid w:val="46E26247"/>
    <w:rsid w:val="47160A6F"/>
    <w:rsid w:val="471E62FF"/>
    <w:rsid w:val="47522B33"/>
    <w:rsid w:val="47A960BD"/>
    <w:rsid w:val="47C0279F"/>
    <w:rsid w:val="482C228A"/>
    <w:rsid w:val="4831524B"/>
    <w:rsid w:val="483E5547"/>
    <w:rsid w:val="48D251F5"/>
    <w:rsid w:val="49791BD1"/>
    <w:rsid w:val="49AB64E8"/>
    <w:rsid w:val="4A385572"/>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3185F26"/>
    <w:rsid w:val="53FA526F"/>
    <w:rsid w:val="54684CCB"/>
    <w:rsid w:val="54CC3272"/>
    <w:rsid w:val="54E43AFF"/>
    <w:rsid w:val="559867BC"/>
    <w:rsid w:val="55CF7668"/>
    <w:rsid w:val="5611195E"/>
    <w:rsid w:val="566A7AB8"/>
    <w:rsid w:val="578C3E5C"/>
    <w:rsid w:val="57B650E9"/>
    <w:rsid w:val="583A3D1F"/>
    <w:rsid w:val="5963606A"/>
    <w:rsid w:val="599C0295"/>
    <w:rsid w:val="59CC1E60"/>
    <w:rsid w:val="5A3958FC"/>
    <w:rsid w:val="5A52363F"/>
    <w:rsid w:val="5ADB4B37"/>
    <w:rsid w:val="5B353BE4"/>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41302"/>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C21A9B"/>
    <w:rsid w:val="70D2651B"/>
    <w:rsid w:val="713C5F5C"/>
    <w:rsid w:val="71473362"/>
    <w:rsid w:val="72A1277E"/>
    <w:rsid w:val="75FF74E3"/>
    <w:rsid w:val="7699161E"/>
    <w:rsid w:val="76F9503E"/>
    <w:rsid w:val="772E114A"/>
    <w:rsid w:val="773F7F5C"/>
    <w:rsid w:val="776A33D5"/>
    <w:rsid w:val="77EA37F8"/>
    <w:rsid w:val="78266967"/>
    <w:rsid w:val="783D5D07"/>
    <w:rsid w:val="783E684E"/>
    <w:rsid w:val="78574FCB"/>
    <w:rsid w:val="7883527A"/>
    <w:rsid w:val="78A53DE1"/>
    <w:rsid w:val="78B418F9"/>
    <w:rsid w:val="78F17FE2"/>
    <w:rsid w:val="79061ACC"/>
    <w:rsid w:val="792B2D9D"/>
    <w:rsid w:val="79575799"/>
    <w:rsid w:val="79AD6A52"/>
    <w:rsid w:val="79B158B1"/>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64</Pages>
  <Words>435</Words>
  <Characters>466</Characters>
  <Lines>190</Lines>
  <Paragraphs>53</Paragraphs>
  <TotalTime>8</TotalTime>
  <ScaleCrop>false</ScaleCrop>
  <LinksUpToDate>false</LinksUpToDate>
  <CharactersWithSpaces>489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2026-01-05T09:15:28Z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eyJoZGlkIjoiOTNiYjk4YjJiZTk3MTM2YWExMDFmNTQ1MzkzOWUzMTQiLCJ1c2VySWQiOiIxNjM5NDc5ODU0In0=</vt:lpwstr>
  </property>
</Properties>
</file>