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spacing w:val="36"/>
          <w:w w:val="66"/>
          <w:sz w:val="72"/>
          <w:szCs w:val="72"/>
        </w:rPr>
      </w:pPr>
    </w:p>
    <w:p>
      <w:pPr>
        <w:jc w:val="center"/>
        <w:rPr>
          <w:rFonts w:hint="eastAsia"/>
          <w:b/>
          <w:bCs/>
          <w:sz w:val="56"/>
          <w:szCs w:val="40"/>
          <w:lang w:eastAsia="zh-CN"/>
        </w:rPr>
      </w:pPr>
      <w:bookmarkStart w:id="83" w:name="_GoBack"/>
      <w:r>
        <w:rPr>
          <w:rFonts w:hint="eastAsia"/>
          <w:b/>
          <w:bCs/>
          <w:sz w:val="56"/>
          <w:szCs w:val="40"/>
          <w:lang w:eastAsia="zh-CN"/>
        </w:rPr>
        <w:t>国家税务总局乌拉特前旗税务局</w:t>
      </w:r>
    </w:p>
    <w:p>
      <w:pPr>
        <w:jc w:val="center"/>
        <w:rPr>
          <w:rFonts w:hint="default"/>
          <w:b/>
          <w:bCs/>
          <w:sz w:val="56"/>
          <w:szCs w:val="40"/>
          <w:lang w:val="en-US"/>
        </w:rPr>
      </w:pPr>
      <w:r>
        <w:rPr>
          <w:rFonts w:hint="eastAsia"/>
          <w:b/>
          <w:bCs/>
          <w:sz w:val="56"/>
          <w:szCs w:val="40"/>
          <w:lang w:eastAsia="zh-CN"/>
        </w:rPr>
        <w:t>物业管理服务项目</w:t>
      </w:r>
      <w:r>
        <w:rPr>
          <w:rFonts w:hint="eastAsia"/>
          <w:b/>
          <w:bCs/>
          <w:sz w:val="56"/>
          <w:szCs w:val="40"/>
          <w:lang w:val="en-US" w:eastAsia="zh-CN"/>
        </w:rPr>
        <w:t>(三次)</w:t>
      </w:r>
    </w:p>
    <w:p>
      <w:pPr>
        <w:rPr>
          <w:rFonts w:hint="eastAsia"/>
        </w:rPr>
      </w:pPr>
    </w:p>
    <w:p>
      <w:pPr>
        <w:jc w:val="both"/>
        <w:rPr>
          <w:rFonts w:hint="eastAsia" w:ascii="黑体" w:eastAsia="黑体"/>
          <w:b/>
          <w:sz w:val="96"/>
          <w:szCs w:val="96"/>
        </w:rPr>
      </w:pPr>
    </w:p>
    <w:p>
      <w:pPr>
        <w:jc w:val="center"/>
        <w:rPr>
          <w:rFonts w:hint="eastAsia" w:ascii="黑体" w:eastAsia="黑体"/>
          <w:b/>
          <w:sz w:val="72"/>
          <w:szCs w:val="72"/>
          <w:lang w:eastAsia="zh-CN"/>
        </w:rPr>
      </w:pPr>
      <w:r>
        <w:rPr>
          <w:rFonts w:hint="eastAsia" w:ascii="黑体" w:eastAsia="黑体"/>
          <w:b/>
          <w:sz w:val="72"/>
          <w:szCs w:val="72"/>
          <w:lang w:val="en-US" w:eastAsia="zh-CN"/>
        </w:rPr>
        <w:t>综合</w:t>
      </w:r>
      <w:r>
        <w:rPr>
          <w:rFonts w:hint="eastAsia" w:ascii="黑体" w:eastAsia="黑体"/>
          <w:b/>
          <w:sz w:val="72"/>
          <w:szCs w:val="72"/>
          <w:lang w:eastAsia="zh-CN"/>
        </w:rPr>
        <w:t>磋商文件</w:t>
      </w:r>
    </w:p>
    <w:p>
      <w:pPr>
        <w:ind w:left="538"/>
        <w:jc w:val="center"/>
        <w:rPr>
          <w:rFonts w:hint="eastAsia"/>
          <w:sz w:val="32"/>
        </w:rPr>
      </w:pPr>
    </w:p>
    <w:p>
      <w:pPr>
        <w:jc w:val="center"/>
        <w:rPr>
          <w:rFonts w:hint="eastAsia" w:eastAsia="宋体"/>
          <w:b/>
          <w:bCs/>
          <w:sz w:val="18"/>
          <w:lang w:val="en-US" w:eastAsia="zh-CN"/>
        </w:rPr>
      </w:pPr>
      <w:r>
        <w:rPr>
          <w:rFonts w:hint="eastAsia"/>
          <w:b/>
          <w:bCs/>
          <w:sz w:val="32"/>
        </w:rPr>
        <w:t>招标编号：</w:t>
      </w:r>
      <w:r>
        <w:rPr>
          <w:rFonts w:hint="eastAsia" w:cs="Times New Roman"/>
          <w:b/>
          <w:bCs/>
          <w:sz w:val="32"/>
          <w:lang w:val="en-US" w:eastAsia="zh-CN"/>
        </w:rPr>
        <w:t>NMGCB-2025-066</w:t>
      </w: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pStyle w:val="32"/>
        <w:ind w:left="0" w:leftChars="0" w:firstLine="0" w:firstLineChars="0"/>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ind w:left="0" w:leftChars="0" w:firstLine="560" w:firstLineChars="155"/>
        <w:jc w:val="both"/>
        <w:rPr>
          <w:rFonts w:hint="eastAsia" w:ascii="宋体" w:hAnsi="宋体"/>
          <w:b/>
          <w:spacing w:val="20"/>
          <w:sz w:val="32"/>
          <w:lang w:val="en-US" w:eastAsia="zh-CN"/>
        </w:rPr>
      </w:pPr>
      <w:r>
        <w:rPr>
          <w:rFonts w:hint="eastAsia" w:ascii="宋体" w:hAnsi="宋体"/>
          <w:b/>
          <w:spacing w:val="20"/>
          <w:sz w:val="32"/>
          <w:lang w:val="en-US" w:eastAsia="zh-CN"/>
        </w:rPr>
        <w:t>采购单位名称：国家税务总局乌拉特前旗税务局</w:t>
      </w:r>
    </w:p>
    <w:p>
      <w:pPr>
        <w:pStyle w:val="32"/>
        <w:ind w:left="0" w:leftChars="0" w:firstLine="325" w:firstLineChars="155"/>
        <w:rPr>
          <w:rFonts w:hint="eastAsia"/>
          <w:lang w:val="en-US" w:eastAsia="zh-CN"/>
        </w:rPr>
      </w:pPr>
    </w:p>
    <w:p>
      <w:pPr>
        <w:ind w:left="0" w:leftChars="0" w:firstLine="560" w:firstLineChars="155"/>
        <w:jc w:val="left"/>
        <w:rPr>
          <w:rFonts w:hint="eastAsia" w:ascii="宋体" w:hAnsi="宋体" w:eastAsia="宋体"/>
          <w:b/>
          <w:spacing w:val="20"/>
          <w:sz w:val="32"/>
          <w:lang w:val="en-US" w:eastAsia="zh-CN"/>
        </w:rPr>
      </w:pPr>
      <w:r>
        <w:rPr>
          <w:rFonts w:hint="eastAsia" w:ascii="宋体" w:hAnsi="宋体"/>
          <w:b/>
          <w:spacing w:val="20"/>
          <w:sz w:val="32"/>
          <w:lang w:eastAsia="zh-CN"/>
        </w:rPr>
        <w:t>采购</w:t>
      </w:r>
      <w:r>
        <w:rPr>
          <w:rFonts w:hint="eastAsia" w:ascii="宋体" w:hAnsi="宋体"/>
          <w:b/>
          <w:spacing w:val="20"/>
          <w:sz w:val="32"/>
        </w:rPr>
        <w:t>代理机构:内蒙古诚博项目管理有限公司</w:t>
      </w:r>
    </w:p>
    <w:p>
      <w:pPr>
        <w:jc w:val="distribute"/>
        <w:rPr>
          <w:rFonts w:hint="eastAsia" w:ascii="宋体" w:hAnsi="宋体"/>
          <w:b/>
          <w:spacing w:val="20"/>
          <w:sz w:val="32"/>
          <w:lang w:val="en-US" w:eastAsia="zh-CN"/>
        </w:rPr>
      </w:pPr>
    </w:p>
    <w:p>
      <w:pPr>
        <w:jc w:val="center"/>
        <w:rPr>
          <w:rFonts w:hint="eastAsia"/>
          <w:b/>
          <w:sz w:val="32"/>
          <w:szCs w:val="32"/>
        </w:rPr>
      </w:pPr>
      <w:r>
        <w:rPr>
          <w:rFonts w:hint="eastAsia"/>
          <w:b/>
          <w:sz w:val="32"/>
          <w:szCs w:val="32"/>
          <w:lang w:eastAsia="zh-CN"/>
        </w:rPr>
        <w:t>二</w:t>
      </w:r>
      <w:r>
        <w:rPr>
          <w:rFonts w:hint="eastAsia"/>
          <w:b/>
          <w:sz w:val="32"/>
          <w:szCs w:val="32"/>
          <w:lang w:val="en-US" w:eastAsia="zh-CN"/>
        </w:rPr>
        <w:t>0二五</w:t>
      </w:r>
      <w:r>
        <w:rPr>
          <w:rFonts w:hint="eastAsia"/>
          <w:b/>
          <w:sz w:val="32"/>
          <w:szCs w:val="32"/>
        </w:rPr>
        <w:t>年</w:t>
      </w:r>
      <w:r>
        <w:rPr>
          <w:rFonts w:hint="eastAsia"/>
          <w:b/>
          <w:sz w:val="32"/>
          <w:szCs w:val="32"/>
          <w:lang w:val="en-US" w:eastAsia="zh-CN"/>
        </w:rPr>
        <w:t>十二</w:t>
      </w:r>
      <w:r>
        <w:rPr>
          <w:rFonts w:hint="eastAsia"/>
          <w:b/>
          <w:sz w:val="32"/>
          <w:szCs w:val="32"/>
        </w:rPr>
        <w:t>月</w:t>
      </w:r>
    </w:p>
    <w:p>
      <w:pPr>
        <w:pStyle w:val="23"/>
        <w:jc w:val="center"/>
        <w:rPr>
          <w:rFonts w:hint="eastAsia"/>
          <w:sz w:val="32"/>
          <w:szCs w:val="32"/>
        </w:rPr>
        <w:sectPr>
          <w:headerReference r:id="rId4" w:type="first"/>
          <w:headerReference r:id="rId3" w:type="default"/>
          <w:footerReference r:id="rId5" w:type="even"/>
          <w:pgSz w:w="11906" w:h="16838"/>
          <w:pgMar w:top="1417" w:right="1587" w:bottom="1417" w:left="1587" w:header="851" w:footer="992" w:gutter="0"/>
          <w:cols w:space="720" w:num="1"/>
          <w:rtlGutter w:val="0"/>
          <w:docGrid w:type="lines" w:linePitch="312" w:charSpace="0"/>
        </w:sectPr>
      </w:pPr>
    </w:p>
    <w:bookmarkEnd w:id="83"/>
    <w:p>
      <w:pPr>
        <w:pStyle w:val="15"/>
        <w:jc w:val="center"/>
      </w:pPr>
      <w:r>
        <w:rPr>
          <w:rFonts w:hint="eastAsia"/>
          <w:sz w:val="56"/>
          <w:szCs w:val="96"/>
        </w:rPr>
        <w:t>温馨提示</w:t>
      </w:r>
    </w:p>
    <w:p>
      <w:pPr>
        <w:widowControl/>
        <w:adjustRightInd w:val="0"/>
        <w:spacing w:line="360" w:lineRule="auto"/>
        <w:ind w:left="480"/>
        <w:rPr>
          <w:rFonts w:hAnsi="宋体"/>
          <w:b/>
          <w:szCs w:val="21"/>
        </w:rPr>
      </w:pPr>
    </w:p>
    <w:p>
      <w:pPr>
        <w:keepNext w:val="0"/>
        <w:keepLines w:val="0"/>
        <w:pageBreakBefore w:val="0"/>
        <w:widowControl/>
        <w:kinsoku/>
        <w:wordWrap/>
        <w:overflowPunct/>
        <w:topLinePunct w:val="0"/>
        <w:autoSpaceDE/>
        <w:autoSpaceDN/>
        <w:bidi w:val="0"/>
        <w:adjustRightInd w:val="0"/>
        <w:snapToGrid w:val="0"/>
        <w:spacing w:line="480" w:lineRule="auto"/>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招投标期间请您认真阅读以下事项：</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在阅读</w:t>
      </w:r>
      <w:r>
        <w:rPr>
          <w:rFonts w:hint="eastAsia" w:ascii="宋体" w:hAnsi="宋体" w:eastAsia="宋体" w:cs="宋体"/>
          <w:sz w:val="24"/>
          <w:szCs w:val="24"/>
          <w:lang w:eastAsia="zh-CN"/>
        </w:rPr>
        <w:t>采购文件</w:t>
      </w:r>
      <w:r>
        <w:rPr>
          <w:rFonts w:hint="eastAsia" w:ascii="宋体" w:hAnsi="宋体" w:eastAsia="宋体" w:cs="宋体"/>
          <w:sz w:val="24"/>
          <w:szCs w:val="24"/>
        </w:rPr>
        <w:t>时，如发现</w:t>
      </w:r>
      <w:r>
        <w:rPr>
          <w:rFonts w:hint="eastAsia" w:ascii="宋体" w:hAnsi="宋体" w:eastAsia="宋体" w:cs="宋体"/>
          <w:sz w:val="24"/>
          <w:szCs w:val="24"/>
          <w:lang w:eastAsia="zh-CN"/>
        </w:rPr>
        <w:t>采购文件</w:t>
      </w:r>
      <w:r>
        <w:rPr>
          <w:rFonts w:hint="eastAsia" w:ascii="宋体" w:hAnsi="宋体" w:eastAsia="宋体" w:cs="宋体"/>
          <w:sz w:val="24"/>
          <w:szCs w:val="24"/>
        </w:rPr>
        <w:t>出现问题或有不足之处时，请及时提出。在此我单位表示感谢</w:t>
      </w:r>
      <w:r>
        <w:rPr>
          <w:rFonts w:hint="eastAsia" w:ascii="宋体" w:hAnsi="宋体" w:eastAsia="宋体" w:cs="宋体"/>
          <w:sz w:val="24"/>
          <w:szCs w:val="24"/>
          <w:lang w:eastAsia="zh-CN"/>
        </w:rPr>
        <w:t>。</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请仔细阅读</w:t>
      </w:r>
      <w:r>
        <w:rPr>
          <w:rFonts w:hint="eastAsia" w:ascii="宋体" w:hAnsi="宋体" w:eastAsia="宋体" w:cs="宋体"/>
          <w:sz w:val="24"/>
          <w:szCs w:val="24"/>
          <w:lang w:eastAsia="zh-CN"/>
        </w:rPr>
        <w:t>采购文件</w:t>
      </w:r>
      <w:r>
        <w:rPr>
          <w:rFonts w:hint="eastAsia" w:ascii="宋体" w:hAnsi="宋体" w:eastAsia="宋体" w:cs="宋体"/>
          <w:sz w:val="24"/>
          <w:szCs w:val="24"/>
        </w:rPr>
        <w:t>中涂黑加粗的文字，并在编制</w:t>
      </w:r>
      <w:r>
        <w:rPr>
          <w:rFonts w:hint="eastAsia" w:hAnsi="宋体" w:cs="宋体"/>
          <w:sz w:val="24"/>
          <w:szCs w:val="24"/>
          <w:lang w:eastAsia="zh-CN"/>
        </w:rPr>
        <w:t>响应文件</w:t>
      </w:r>
      <w:r>
        <w:rPr>
          <w:rFonts w:hint="eastAsia" w:ascii="宋体" w:hAnsi="宋体" w:eastAsia="宋体" w:cs="宋体"/>
          <w:sz w:val="24"/>
          <w:szCs w:val="24"/>
        </w:rPr>
        <w:t>时做出响应，以免出现不必要的错误。</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cs="宋体"/>
          <w:sz w:val="24"/>
          <w:szCs w:val="24"/>
          <w:lang w:val="en-US" w:eastAsia="zh-CN"/>
        </w:rPr>
        <w:t>响应</w:t>
      </w:r>
      <w:r>
        <w:rPr>
          <w:rFonts w:hint="eastAsia" w:ascii="宋体" w:hAnsi="宋体" w:eastAsia="宋体" w:cs="宋体"/>
          <w:sz w:val="24"/>
          <w:szCs w:val="24"/>
          <w:highlight w:val="none"/>
        </w:rPr>
        <w:t>截止时间</w:t>
      </w:r>
      <w:r>
        <w:rPr>
          <w:rFonts w:hint="eastAsia" w:ascii="宋体" w:hAnsi="宋体" w:eastAsia="宋体" w:cs="宋体"/>
          <w:kern w:val="2"/>
          <w:sz w:val="24"/>
          <w:szCs w:val="24"/>
          <w:highlight w:val="none"/>
          <w:lang w:val="en-US" w:eastAsia="zh-CN" w:bidi="ar-SA"/>
        </w:rPr>
        <w:t>为202</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年</w:t>
      </w:r>
      <w:r>
        <w:rPr>
          <w:rFonts w:hint="eastAsia" w:ascii="宋体" w:hAnsi="宋体" w:cs="宋体"/>
          <w:kern w:val="2"/>
          <w:sz w:val="24"/>
          <w:szCs w:val="24"/>
          <w:highlight w:val="none"/>
          <w:lang w:val="en-US" w:eastAsia="zh-CN" w:bidi="ar-SA"/>
        </w:rPr>
        <w:t>12</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日</w:t>
      </w:r>
      <w:r>
        <w:rPr>
          <w:rFonts w:hint="eastAsia" w:ascii="宋体" w:hAnsi="宋体" w:cs="宋体"/>
          <w:kern w:val="2"/>
          <w:sz w:val="24"/>
          <w:szCs w:val="24"/>
          <w:highlight w:val="none"/>
          <w:lang w:val="en-US" w:eastAsia="zh-CN" w:bidi="ar-SA"/>
        </w:rPr>
        <w:t>9</w:t>
      </w:r>
      <w:r>
        <w:rPr>
          <w:rFonts w:hint="eastAsia" w:ascii="宋体" w:hAnsi="宋体" w:eastAsia="宋体" w:cs="宋体"/>
          <w:kern w:val="2"/>
          <w:sz w:val="24"/>
          <w:szCs w:val="24"/>
          <w:lang w:val="en-US" w:eastAsia="zh-CN" w:bidi="ar-SA"/>
        </w:rPr>
        <w:t>时30分，为</w:t>
      </w:r>
      <w:r>
        <w:rPr>
          <w:rFonts w:hint="eastAsia" w:ascii="宋体" w:hAnsi="宋体" w:eastAsia="宋体" w:cs="宋体"/>
          <w:sz w:val="24"/>
          <w:szCs w:val="24"/>
        </w:rPr>
        <w:t>避免集中递交标书造成混乱，我单位从</w:t>
      </w:r>
      <w:r>
        <w:rPr>
          <w:rFonts w:hint="eastAsia" w:ascii="宋体" w:hAnsi="宋体" w:cs="宋体"/>
          <w:sz w:val="24"/>
          <w:szCs w:val="24"/>
          <w:lang w:val="en-US" w:eastAsia="zh-CN"/>
        </w:rPr>
        <w:t>上</w:t>
      </w:r>
      <w:r>
        <w:rPr>
          <w:rFonts w:hint="eastAsia" w:ascii="宋体" w:hAnsi="宋体" w:eastAsia="宋体" w:cs="宋体"/>
          <w:sz w:val="24"/>
          <w:szCs w:val="24"/>
          <w:lang w:val="en-US" w:eastAsia="zh-CN"/>
        </w:rPr>
        <w:t>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0分</w:t>
      </w:r>
      <w:r>
        <w:rPr>
          <w:rFonts w:hint="eastAsia" w:ascii="宋体" w:hAnsi="宋体" w:eastAsia="宋体" w:cs="宋体"/>
          <w:kern w:val="2"/>
          <w:sz w:val="24"/>
          <w:szCs w:val="24"/>
          <w:lang w:val="en-US" w:eastAsia="zh-CN" w:bidi="ar-SA"/>
        </w:rPr>
        <w:t>时到达</w:t>
      </w:r>
      <w:r>
        <w:rPr>
          <w:rFonts w:hint="eastAsia" w:ascii="宋体" w:hAnsi="宋体" w:eastAsia="宋体" w:cs="宋体"/>
          <w:sz w:val="24"/>
          <w:szCs w:val="24"/>
        </w:rPr>
        <w:t>开标会场开始接收标书，请各位</w:t>
      </w:r>
      <w:r>
        <w:rPr>
          <w:rFonts w:hint="eastAsia" w:ascii="宋体" w:hAnsi="宋体" w:eastAsia="宋体" w:cs="宋体"/>
          <w:sz w:val="24"/>
          <w:szCs w:val="24"/>
          <w:lang w:eastAsia="zh-CN"/>
        </w:rPr>
        <w:t>供应商</w:t>
      </w:r>
      <w:r>
        <w:rPr>
          <w:rFonts w:hint="eastAsia" w:ascii="宋体" w:hAnsi="宋体" w:eastAsia="宋体" w:cs="宋体"/>
          <w:sz w:val="24"/>
          <w:szCs w:val="24"/>
        </w:rPr>
        <w:t>妥善安排时间。您的</w:t>
      </w:r>
      <w:r>
        <w:rPr>
          <w:rFonts w:hint="eastAsia" w:ascii="宋体" w:hAnsi="宋体" w:eastAsia="宋体" w:cs="宋体"/>
          <w:kern w:val="2"/>
          <w:sz w:val="24"/>
          <w:szCs w:val="24"/>
          <w:lang w:val="en-US" w:eastAsia="zh-CN" w:bidi="ar-SA"/>
        </w:rPr>
        <w:t>配合</w:t>
      </w:r>
      <w:r>
        <w:rPr>
          <w:rFonts w:hint="eastAsia" w:ascii="宋体" w:hAnsi="宋体" w:eastAsia="宋体" w:cs="宋体"/>
          <w:sz w:val="24"/>
          <w:szCs w:val="24"/>
        </w:rPr>
        <w:t>既给我们的工作带来方便，也不会因为时间的问题给您带来不必要的损失。</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由于开标室场地局限，建议各供应商派一人</w:t>
      </w:r>
      <w:r>
        <w:rPr>
          <w:rFonts w:hint="eastAsia" w:hAnsi="宋体" w:cs="宋体"/>
          <w:kern w:val="2"/>
          <w:sz w:val="24"/>
          <w:szCs w:val="24"/>
          <w:lang w:val="en-US" w:eastAsia="zh-CN" w:bidi="ar-SA"/>
        </w:rPr>
        <w:t>携带身份证原件</w:t>
      </w:r>
      <w:r>
        <w:rPr>
          <w:rFonts w:hint="eastAsia" w:ascii="宋体" w:hAnsi="宋体" w:eastAsia="宋体" w:cs="宋体"/>
          <w:kern w:val="2"/>
          <w:sz w:val="24"/>
          <w:szCs w:val="24"/>
          <w:lang w:val="en-US" w:eastAsia="zh-CN" w:bidi="ar-SA"/>
        </w:rPr>
        <w:t>参加开标会议即可。</w:t>
      </w:r>
    </w:p>
    <w:p>
      <w:pPr>
        <w:rPr>
          <w:rFonts w:hint="eastAsia"/>
          <w:sz w:val="32"/>
          <w:szCs w:val="32"/>
        </w:rPr>
      </w:pPr>
      <w:r>
        <w:rPr>
          <w:rFonts w:hint="eastAsia"/>
          <w:sz w:val="32"/>
          <w:szCs w:val="32"/>
        </w:rPr>
        <w:br w:type="page"/>
      </w:r>
    </w:p>
    <w:p>
      <w:pPr>
        <w:pStyle w:val="23"/>
        <w:jc w:val="center"/>
        <w:rPr>
          <w:rFonts w:hint="eastAsia"/>
          <w:sz w:val="32"/>
          <w:szCs w:val="32"/>
        </w:rPr>
      </w:pPr>
      <w:r>
        <w:rPr>
          <w:rFonts w:hint="eastAsia"/>
          <w:sz w:val="32"/>
          <w:szCs w:val="32"/>
        </w:rPr>
        <w:t>目    录</w:t>
      </w:r>
    </w:p>
    <w:p>
      <w:pPr>
        <w:pStyle w:val="23"/>
        <w:tabs>
          <w:tab w:val="right" w:leader="dot" w:pos="9072"/>
        </w:tabs>
      </w:pPr>
      <w:r>
        <w:rPr>
          <w:b w:val="0"/>
          <w:bCs w:val="0"/>
          <w:caps w:val="0"/>
          <w:sz w:val="24"/>
          <w:szCs w:val="24"/>
        </w:rPr>
        <w:fldChar w:fldCharType="begin"/>
      </w:r>
      <w:r>
        <w:rPr>
          <w:b w:val="0"/>
          <w:bCs w:val="0"/>
          <w:caps w:val="0"/>
          <w:sz w:val="24"/>
          <w:szCs w:val="24"/>
        </w:rPr>
        <w:instrText xml:space="preserve"> TOC \o "1-1" \h \z \u </w:instrText>
      </w:r>
      <w:r>
        <w:rPr>
          <w:b w:val="0"/>
          <w:bCs w:val="0"/>
          <w:caps w:val="0"/>
          <w:sz w:val="24"/>
          <w:szCs w:val="24"/>
        </w:rPr>
        <w:fldChar w:fldCharType="separate"/>
      </w:r>
      <w:r>
        <w:rPr>
          <w:bCs w:val="0"/>
          <w:caps w:val="0"/>
          <w:szCs w:val="24"/>
        </w:rPr>
        <w:fldChar w:fldCharType="begin"/>
      </w:r>
      <w:r>
        <w:rPr>
          <w:bCs w:val="0"/>
          <w:caps w:val="0"/>
          <w:szCs w:val="24"/>
        </w:rPr>
        <w:instrText xml:space="preserve"> HYPERLINK \l _Toc408 </w:instrText>
      </w:r>
      <w:r>
        <w:rPr>
          <w:bCs w:val="0"/>
          <w:caps w:val="0"/>
          <w:szCs w:val="24"/>
        </w:rPr>
        <w:fldChar w:fldCharType="separate"/>
      </w:r>
      <w:r>
        <w:rPr>
          <w:rFonts w:hint="default" w:ascii="宋体" w:hAnsi="宋体" w:eastAsia="宋体"/>
          <w:bCs w:val="0"/>
          <w:kern w:val="2"/>
          <w:szCs w:val="28"/>
          <w:lang w:val="en-US" w:eastAsia="zh-CN"/>
        </w:rPr>
        <w:t>第一章</w:t>
      </w:r>
      <w:r>
        <w:rPr>
          <w:rFonts w:hint="eastAsia" w:ascii="宋体" w:hAnsi="宋体" w:eastAsia="宋体"/>
          <w:bCs w:val="0"/>
          <w:kern w:val="2"/>
          <w:szCs w:val="28"/>
          <w:lang w:val="en-US" w:eastAsia="zh-CN"/>
        </w:rPr>
        <w:t xml:space="preserve"> 综合磋商公告</w:t>
      </w:r>
      <w:r>
        <w:tab/>
      </w:r>
      <w:r>
        <w:fldChar w:fldCharType="begin"/>
      </w:r>
      <w:r>
        <w:instrText xml:space="preserve"> PAGEREF _Toc408 \h </w:instrText>
      </w:r>
      <w:r>
        <w:fldChar w:fldCharType="separate"/>
      </w:r>
      <w:r>
        <w:t>1</w:t>
      </w:r>
      <w:r>
        <w:fldChar w:fldCharType="end"/>
      </w:r>
      <w:r>
        <w:rPr>
          <w:bCs w:val="0"/>
          <w:caps w:val="0"/>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_Toc5578 </w:instrText>
      </w:r>
      <w:r>
        <w:rPr>
          <w:bCs w:val="0"/>
          <w:caps/>
          <w:szCs w:val="24"/>
        </w:rPr>
        <w:fldChar w:fldCharType="separate"/>
      </w:r>
      <w:r>
        <w:rPr>
          <w:rFonts w:hint="eastAsia" w:ascii="宋体" w:hAnsi="宋体" w:eastAsia="宋体"/>
          <w:bCs w:val="0"/>
          <w:kern w:val="2"/>
          <w:szCs w:val="28"/>
          <w:lang w:val="en-US" w:eastAsia="zh-CN"/>
        </w:rPr>
        <w:t xml:space="preserve">第二章 </w:t>
      </w:r>
      <w:r>
        <w:rPr>
          <w:rFonts w:hint="eastAsia" w:ascii="宋体" w:hAnsi="宋体"/>
          <w:bCs w:val="0"/>
          <w:kern w:val="2"/>
          <w:szCs w:val="28"/>
          <w:lang w:val="en-US" w:eastAsia="zh-CN"/>
        </w:rPr>
        <w:t>综合</w:t>
      </w:r>
      <w:r>
        <w:rPr>
          <w:rFonts w:hint="eastAsia" w:ascii="宋体" w:hAnsi="宋体" w:eastAsia="宋体"/>
          <w:bCs w:val="0"/>
          <w:kern w:val="2"/>
          <w:szCs w:val="28"/>
          <w:lang w:val="en-US" w:eastAsia="zh-CN"/>
        </w:rPr>
        <w:t>磋商须知</w:t>
      </w:r>
      <w:r>
        <w:tab/>
      </w:r>
      <w:r>
        <w:fldChar w:fldCharType="begin"/>
      </w:r>
      <w:r>
        <w:instrText xml:space="preserve"> PAGEREF _Toc5578 \h </w:instrText>
      </w:r>
      <w:r>
        <w:fldChar w:fldCharType="separate"/>
      </w:r>
      <w:r>
        <w:t>4</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_Toc21263 </w:instrText>
      </w:r>
      <w:r>
        <w:rPr>
          <w:bCs w:val="0"/>
          <w:caps/>
          <w:szCs w:val="24"/>
        </w:rPr>
        <w:fldChar w:fldCharType="separate"/>
      </w:r>
      <w:r>
        <w:rPr>
          <w:rFonts w:hint="eastAsia" w:ascii="宋体" w:hAnsi="宋体" w:eastAsia="宋体"/>
          <w:bCs w:val="0"/>
          <w:kern w:val="2"/>
          <w:szCs w:val="28"/>
          <w:lang w:val="zh-CN"/>
        </w:rPr>
        <w:t>第三章 采购内容与技术要求</w:t>
      </w:r>
      <w:r>
        <w:tab/>
      </w:r>
      <w:r>
        <w:fldChar w:fldCharType="begin"/>
      </w:r>
      <w:r>
        <w:instrText xml:space="preserve"> PAGEREF _Toc21263 \h </w:instrText>
      </w:r>
      <w:r>
        <w:fldChar w:fldCharType="separate"/>
      </w:r>
      <w:r>
        <w:t>18</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_Toc866 </w:instrText>
      </w:r>
      <w:r>
        <w:rPr>
          <w:bCs w:val="0"/>
          <w:caps/>
          <w:szCs w:val="24"/>
        </w:rPr>
        <w:fldChar w:fldCharType="separate"/>
      </w:r>
      <w:r>
        <w:rPr>
          <w:rFonts w:hint="eastAsia" w:ascii="宋体" w:hAnsi="宋体" w:eastAsia="宋体"/>
          <w:bCs w:val="0"/>
          <w:kern w:val="2"/>
          <w:szCs w:val="28"/>
          <w:lang w:val="zh-CN"/>
        </w:rPr>
        <w:t>第四章 供应商应当提交的资格、资信证明文件</w:t>
      </w:r>
      <w:r>
        <w:tab/>
      </w:r>
      <w:r>
        <w:fldChar w:fldCharType="begin"/>
      </w:r>
      <w:r>
        <w:instrText xml:space="preserve"> PAGEREF _Toc866 \h </w:instrText>
      </w:r>
      <w:r>
        <w:fldChar w:fldCharType="separate"/>
      </w:r>
      <w:r>
        <w:t>20</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_Toc30960 </w:instrText>
      </w:r>
      <w:r>
        <w:rPr>
          <w:bCs w:val="0"/>
          <w:caps/>
          <w:szCs w:val="24"/>
        </w:rPr>
        <w:fldChar w:fldCharType="separate"/>
      </w:r>
      <w:r>
        <w:rPr>
          <w:rFonts w:hint="eastAsia" w:ascii="宋体" w:hAnsi="宋体" w:eastAsia="宋体"/>
          <w:bCs w:val="0"/>
          <w:kern w:val="2"/>
          <w:szCs w:val="28"/>
          <w:lang w:val="zh-CN"/>
        </w:rPr>
        <w:t xml:space="preserve">第五章 </w:t>
      </w:r>
      <w:r>
        <w:rPr>
          <w:rFonts w:hint="eastAsia" w:ascii="宋体" w:hAnsi="宋体" w:eastAsia="宋体"/>
          <w:bCs w:val="0"/>
          <w:kern w:val="2"/>
          <w:sz w:val="28"/>
          <w:szCs w:val="28"/>
          <w:lang w:val="zh-CN"/>
        </w:rPr>
        <w:t>合同与验收</w:t>
      </w:r>
      <w:r>
        <w:tab/>
      </w:r>
      <w:r>
        <w:fldChar w:fldCharType="begin"/>
      </w:r>
      <w:r>
        <w:instrText xml:space="preserve"> PAGEREF _Toc30960 \h </w:instrText>
      </w:r>
      <w:r>
        <w:fldChar w:fldCharType="separate"/>
      </w:r>
      <w:r>
        <w:t>35</w:t>
      </w:r>
      <w:r>
        <w:fldChar w:fldCharType="end"/>
      </w:r>
      <w:r>
        <w:rPr>
          <w:bCs w:val="0"/>
          <w:caps/>
          <w:szCs w:val="24"/>
        </w:rPr>
        <w:fldChar w:fldCharType="end"/>
      </w:r>
    </w:p>
    <w:p>
      <w:pPr>
        <w:pStyle w:val="23"/>
        <w:tabs>
          <w:tab w:val="right" w:leader="dot" w:pos="9072"/>
        </w:tabs>
        <w:rPr>
          <w:bCs w:val="0"/>
          <w:caps/>
          <w:szCs w:val="24"/>
        </w:rPr>
      </w:pPr>
      <w:r>
        <w:rPr>
          <w:bCs w:val="0"/>
          <w:caps/>
          <w:szCs w:val="24"/>
        </w:rPr>
        <w:fldChar w:fldCharType="begin"/>
      </w:r>
      <w:r>
        <w:rPr>
          <w:bCs w:val="0"/>
          <w:caps/>
          <w:szCs w:val="24"/>
        </w:rPr>
        <w:instrText xml:space="preserve"> HYPERLINK \l _Toc2017 </w:instrText>
      </w:r>
      <w:r>
        <w:rPr>
          <w:bCs w:val="0"/>
          <w:caps/>
          <w:szCs w:val="24"/>
        </w:rPr>
        <w:fldChar w:fldCharType="separate"/>
      </w:r>
      <w:r>
        <w:rPr>
          <w:rFonts w:hint="eastAsia" w:ascii="宋体" w:hAnsi="宋体" w:eastAsia="宋体"/>
          <w:bCs w:val="0"/>
          <w:kern w:val="2"/>
          <w:szCs w:val="28"/>
          <w:lang w:val="en-US" w:eastAsia="zh-CN"/>
        </w:rPr>
        <w:t xml:space="preserve">第六章 </w:t>
      </w:r>
      <w:r>
        <w:rPr>
          <w:rFonts w:hint="eastAsia" w:ascii="宋体" w:hAnsi="宋体" w:eastAsia="宋体"/>
          <w:bCs w:val="0"/>
          <w:kern w:val="2"/>
          <w:szCs w:val="28"/>
          <w:lang w:val="zh-CN"/>
        </w:rPr>
        <w:t>合同</w:t>
      </w:r>
      <w:r>
        <w:tab/>
      </w:r>
      <w:r>
        <w:fldChar w:fldCharType="begin"/>
      </w:r>
      <w:r>
        <w:instrText xml:space="preserve"> PAGEREF _Toc2017 \h </w:instrText>
      </w:r>
      <w:r>
        <w:fldChar w:fldCharType="separate"/>
      </w:r>
      <w:r>
        <w:t>44</w:t>
      </w:r>
      <w:r>
        <w:fldChar w:fldCharType="end"/>
      </w:r>
      <w:r>
        <w:rPr>
          <w:bCs w:val="0"/>
          <w:caps/>
          <w:szCs w:val="24"/>
        </w:rPr>
        <w:fldChar w:fldCharType="end"/>
      </w:r>
    </w:p>
    <w:p>
      <w:pPr>
        <w:pStyle w:val="23"/>
        <w:tabs>
          <w:tab w:val="right" w:leader="dot" w:pos="9072"/>
        </w:tabs>
        <w:rPr>
          <w:rFonts w:hint="default"/>
          <w:lang w:val="en-US" w:eastAsia="zh-CN"/>
        </w:rPr>
      </w:pPr>
      <w:r>
        <w:rPr>
          <w:rFonts w:hint="eastAsia"/>
          <w:lang w:val="zh-CN"/>
        </w:rPr>
        <w:t>第七章 响应文件格式与要求</w:t>
      </w:r>
      <w:r>
        <w:rPr>
          <w:rFonts w:hint="eastAsia"/>
          <w:lang w:val="en-US" w:eastAsia="zh-CN"/>
        </w:rPr>
        <w:tab/>
      </w:r>
      <w:r>
        <w:rPr>
          <w:rFonts w:hint="eastAsia"/>
          <w:lang w:val="en-US" w:eastAsia="zh-CN"/>
        </w:rPr>
        <w:t>41</w:t>
      </w:r>
    </w:p>
    <w:p/>
    <w:p>
      <w:pPr>
        <w:pStyle w:val="23"/>
        <w:tabs>
          <w:tab w:val="right" w:leader="dot" w:pos="9072"/>
        </w:tabs>
      </w:pPr>
    </w:p>
    <w:p>
      <w:pPr>
        <w:pStyle w:val="29"/>
        <w:spacing w:before="0" w:after="0" w:line="480" w:lineRule="auto"/>
        <w:outlineLvl w:val="9"/>
        <w:rPr>
          <w:b w:val="0"/>
          <w:caps/>
          <w:sz w:val="24"/>
          <w:szCs w:val="24"/>
        </w:rPr>
      </w:pPr>
      <w:r>
        <w:rPr>
          <w:bCs w:val="0"/>
          <w:caps/>
          <w:szCs w:val="24"/>
        </w:rPr>
        <w:fldChar w:fldCharType="end"/>
      </w:r>
      <w:bookmarkStart w:id="0" w:name="_Toc332205941"/>
      <w:bookmarkStart w:id="1" w:name="_Toc200874938"/>
    </w:p>
    <w:p>
      <w:pPr>
        <w:pStyle w:val="29"/>
        <w:spacing w:before="0" w:after="0" w:line="480" w:lineRule="auto"/>
        <w:jc w:val="both"/>
        <w:outlineLvl w:val="9"/>
        <w:sectPr>
          <w:pgSz w:w="11906" w:h="16838"/>
          <w:pgMar w:top="1417" w:right="1417" w:bottom="1417" w:left="1417" w:header="851" w:footer="992" w:gutter="0"/>
          <w:cols w:space="720" w:num="1"/>
          <w:rtlGutter w:val="0"/>
          <w:docGrid w:type="lines" w:linePitch="312" w:charSpace="0"/>
        </w:sectPr>
      </w:pPr>
    </w:p>
    <w:bookmarkEnd w:id="0"/>
    <w:bookmarkEnd w:id="1"/>
    <w:p>
      <w:pPr>
        <w:pStyle w:val="29"/>
        <w:shd w:val="clear"/>
        <w:spacing w:line="360" w:lineRule="auto"/>
        <w:rPr>
          <w:rFonts w:hint="eastAsia" w:ascii="宋体" w:hAnsi="宋体" w:eastAsia="宋体"/>
          <w:bCs w:val="0"/>
          <w:kern w:val="2"/>
          <w:sz w:val="28"/>
          <w:szCs w:val="28"/>
          <w:lang w:val="zh-CN"/>
        </w:rPr>
      </w:pPr>
      <w:bookmarkStart w:id="2" w:name="_Toc408"/>
      <w:r>
        <w:rPr>
          <w:rFonts w:hint="default" w:ascii="宋体" w:hAnsi="宋体" w:eastAsia="宋体"/>
          <w:bCs w:val="0"/>
          <w:kern w:val="2"/>
          <w:sz w:val="28"/>
          <w:szCs w:val="28"/>
          <w:lang w:val="en-US" w:eastAsia="zh-CN"/>
        </w:rPr>
        <w:t>第一章</w:t>
      </w:r>
      <w:r>
        <w:rPr>
          <w:rFonts w:hint="eastAsia" w:ascii="宋体" w:hAnsi="宋体" w:eastAsia="宋体"/>
          <w:bCs w:val="0"/>
          <w:kern w:val="2"/>
          <w:sz w:val="28"/>
          <w:szCs w:val="28"/>
          <w:lang w:val="en-US" w:eastAsia="zh-CN"/>
        </w:rPr>
        <w:t xml:space="preserve"> </w:t>
      </w:r>
      <w:bookmarkEnd w:id="2"/>
      <w:r>
        <w:rPr>
          <w:rFonts w:hint="eastAsia" w:ascii="宋体" w:hAnsi="宋体" w:eastAsia="宋体"/>
          <w:bCs w:val="0"/>
          <w:kern w:val="2"/>
          <w:sz w:val="28"/>
          <w:szCs w:val="28"/>
          <w:lang w:val="en-US" w:eastAsia="zh-CN"/>
        </w:rPr>
        <w:t>综合磋商公告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rFonts w:hint="eastAsia"/>
          <w:b/>
          <w:bCs/>
          <w:i w:val="0"/>
          <w:iCs w:val="0"/>
          <w:caps w:val="0"/>
          <w:color w:val="383940"/>
          <w:spacing w:val="0"/>
          <w:sz w:val="28"/>
          <w:szCs w:val="28"/>
          <w:shd w:val="clear" w:color="auto" w:fill="FFFFFF"/>
          <w:vertAlign w:val="baseline"/>
          <w:lang w:val="en-US" w:eastAsia="zh-CN"/>
        </w:rPr>
      </w:pPr>
      <w:bookmarkStart w:id="3" w:name="_Toc14422"/>
      <w:bookmarkStart w:id="4" w:name="_Toc17583"/>
      <w:r>
        <w:rPr>
          <w:rFonts w:hint="eastAsia"/>
          <w:b/>
          <w:bCs/>
          <w:i w:val="0"/>
          <w:iCs w:val="0"/>
          <w:caps w:val="0"/>
          <w:color w:val="383940"/>
          <w:spacing w:val="0"/>
          <w:sz w:val="28"/>
          <w:szCs w:val="28"/>
          <w:shd w:val="clear" w:color="auto" w:fill="FFFFFF"/>
          <w:vertAlign w:val="baseline"/>
          <w:lang w:val="en-US" w:eastAsia="zh-CN"/>
        </w:rPr>
        <w:t>国家税务总局乌拉特前旗税务局物业管理服务项目（三次）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b/>
          <w:bCs/>
          <w:color w:val="383940"/>
          <w:sz w:val="28"/>
          <w:szCs w:val="28"/>
        </w:rPr>
      </w:pPr>
      <w:r>
        <w:rPr>
          <w:rFonts w:hint="eastAsia"/>
          <w:b/>
          <w:bCs/>
          <w:i w:val="0"/>
          <w:iCs w:val="0"/>
          <w:caps w:val="0"/>
          <w:color w:val="383940"/>
          <w:spacing w:val="0"/>
          <w:sz w:val="28"/>
          <w:szCs w:val="28"/>
          <w:shd w:val="clear" w:color="auto" w:fill="FFFFFF"/>
          <w:vertAlign w:val="baseline"/>
          <w:lang w:val="en-US" w:eastAsia="zh-CN"/>
        </w:rPr>
        <w:t>综合</w:t>
      </w:r>
      <w:r>
        <w:rPr>
          <w:b/>
          <w:bCs/>
          <w:i w:val="0"/>
          <w:iCs w:val="0"/>
          <w:caps w:val="0"/>
          <w:color w:val="383940"/>
          <w:spacing w:val="0"/>
          <w:sz w:val="28"/>
          <w:szCs w:val="28"/>
          <w:shd w:val="clear" w:color="auto" w:fill="FFFFFF"/>
          <w:vertAlign w:val="baseline"/>
        </w:rPr>
        <w:t>磋商公告</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内蒙古诚博项目管理有限公司受国家税务总局乌拉特前旗税务局委托，采用</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磋商方式组织采购</w:t>
      </w: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国家税务总局乌拉特前旗税务局物业管理服务项目（三次）</w:t>
      </w:r>
      <w:r>
        <w:rPr>
          <w:rFonts w:hint="eastAsia" w:ascii="宋体" w:hAnsi="宋体" w:eastAsia="宋体" w:cs="宋体"/>
          <w:i w:val="0"/>
          <w:iCs w:val="0"/>
          <w:caps w:val="0"/>
          <w:color w:val="383838"/>
          <w:spacing w:val="0"/>
          <w:sz w:val="24"/>
          <w:szCs w:val="24"/>
          <w:shd w:val="clear" w:color="auto" w:fill="FFFFFF"/>
          <w:vertAlign w:val="baseline"/>
        </w:rPr>
        <w:t>。欢迎符合资格条件的供应商参加投标。</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一、项目基本情况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项目编号：</w:t>
      </w:r>
      <w:r>
        <w:rPr>
          <w:rFonts w:hint="eastAsia" w:ascii="宋体" w:hAnsi="宋体" w:eastAsia="宋体" w:cs="宋体"/>
          <w:sz w:val="24"/>
          <w:szCs w:val="24"/>
          <w:lang w:val="en-US"/>
        </w:rPr>
        <w:t>NMG</w:t>
      </w:r>
      <w:r>
        <w:rPr>
          <w:rFonts w:hint="eastAsia" w:ascii="宋体" w:hAnsi="宋体" w:eastAsia="宋体" w:cs="宋体"/>
          <w:sz w:val="24"/>
          <w:szCs w:val="24"/>
          <w:lang w:val="en-US" w:eastAsia="zh-CN"/>
        </w:rPr>
        <w:t>CB</w:t>
      </w:r>
      <w:r>
        <w:rPr>
          <w:rFonts w:hint="eastAsia" w:ascii="宋体" w:hAnsi="宋体" w:eastAsia="宋体" w:cs="宋体"/>
          <w:sz w:val="24"/>
          <w:szCs w:val="24"/>
          <w:lang w:val="en-US"/>
        </w:rPr>
        <w:t>-</w:t>
      </w:r>
      <w:r>
        <w:rPr>
          <w:rFonts w:hint="eastAsia" w:ascii="宋体" w:hAnsi="宋体" w:cs="宋体"/>
          <w:sz w:val="24"/>
          <w:szCs w:val="24"/>
          <w:lang w:val="en-US" w:eastAsia="zh-CN"/>
        </w:rPr>
        <w:t>2025</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6</w:t>
      </w:r>
      <w:r>
        <w:rPr>
          <w:rFonts w:hint="eastAsia" w:cs="宋体"/>
          <w:sz w:val="24"/>
          <w:szCs w:val="24"/>
          <w:lang w:val="en-US" w:eastAsia="zh-CN"/>
        </w:rPr>
        <w:t>6</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cs="宋体"/>
          <w:i w:val="0"/>
          <w:iCs w:val="0"/>
          <w:caps w:val="0"/>
          <w:color w:val="383838"/>
          <w:spacing w:val="0"/>
          <w:sz w:val="24"/>
          <w:szCs w:val="24"/>
          <w:highlight w:val="none"/>
          <w:shd w:val="clear" w:color="auto" w:fill="FFFFFF"/>
          <w:vertAlign w:val="baseline"/>
          <w:lang w:eastAsia="zh-CN"/>
        </w:rPr>
      </w:pPr>
      <w:r>
        <w:rPr>
          <w:rFonts w:hint="eastAsia" w:ascii="宋体" w:hAnsi="宋体" w:eastAsia="宋体" w:cs="宋体"/>
          <w:i w:val="0"/>
          <w:iCs w:val="0"/>
          <w:caps w:val="0"/>
          <w:color w:val="383838"/>
          <w:spacing w:val="0"/>
          <w:sz w:val="24"/>
          <w:szCs w:val="24"/>
          <w:shd w:val="clear" w:color="auto" w:fill="FFFFFF"/>
          <w:vertAlign w:val="baseline"/>
        </w:rPr>
        <w:t>项目名称：</w:t>
      </w: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国家税务总局乌拉特前旗税务局物业管理服务项目（三次）</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采购方式：</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预算金额：</w:t>
      </w:r>
      <w:r>
        <w:rPr>
          <w:rFonts w:hint="eastAsia" w:cs="宋体"/>
          <w:i w:val="0"/>
          <w:iCs w:val="0"/>
          <w:caps w:val="0"/>
          <w:color w:val="383838"/>
          <w:spacing w:val="0"/>
          <w:sz w:val="24"/>
          <w:szCs w:val="24"/>
          <w:shd w:val="clear" w:color="auto" w:fill="FFFFFF"/>
          <w:vertAlign w:val="baseline"/>
          <w:lang w:val="en-US" w:eastAsia="zh-CN"/>
        </w:rPr>
        <w:t>96万</w:t>
      </w:r>
      <w:r>
        <w:rPr>
          <w:rFonts w:hint="eastAsia" w:ascii="宋体" w:hAnsi="宋体" w:eastAsia="宋体" w:cs="宋体"/>
          <w:i w:val="0"/>
          <w:iCs w:val="0"/>
          <w:caps w:val="0"/>
          <w:color w:val="383838"/>
          <w:spacing w:val="0"/>
          <w:sz w:val="24"/>
          <w:szCs w:val="24"/>
          <w:shd w:val="clear" w:color="auto" w:fill="FFFFFF"/>
          <w:vertAlign w:val="baseline"/>
        </w:rPr>
        <w:t>元（人民币）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rPr>
      </w:pPr>
      <w:r>
        <w:rPr>
          <w:rFonts w:hint="eastAsia" w:ascii="宋体" w:hAnsi="宋体" w:eastAsia="宋体" w:cs="宋体"/>
          <w:i w:val="0"/>
          <w:iCs w:val="0"/>
          <w:caps w:val="0"/>
          <w:color w:val="383838"/>
          <w:spacing w:val="0"/>
          <w:sz w:val="24"/>
          <w:szCs w:val="24"/>
          <w:shd w:val="clear" w:color="auto" w:fill="FFFFFF"/>
          <w:vertAlign w:val="baseline"/>
        </w:rPr>
        <w:t>采购</w:t>
      </w:r>
      <w:r>
        <w:rPr>
          <w:rFonts w:hint="eastAsia" w:cs="宋体"/>
          <w:i w:val="0"/>
          <w:iCs w:val="0"/>
          <w:caps w:val="0"/>
          <w:color w:val="383838"/>
          <w:spacing w:val="0"/>
          <w:sz w:val="24"/>
          <w:szCs w:val="24"/>
          <w:shd w:val="clear" w:color="auto" w:fill="FFFFFF"/>
          <w:vertAlign w:val="baseline"/>
          <w:lang w:val="en-US" w:eastAsia="zh-CN"/>
        </w:rPr>
        <w:t>内容</w:t>
      </w:r>
      <w:r>
        <w:rPr>
          <w:rFonts w:hint="eastAsia" w:ascii="宋体" w:hAnsi="宋体" w:eastAsia="宋体" w:cs="宋体"/>
          <w:i w:val="0"/>
          <w:iCs w:val="0"/>
          <w:caps w:val="0"/>
          <w:color w:val="383838"/>
          <w:spacing w:val="0"/>
          <w:sz w:val="24"/>
          <w:szCs w:val="24"/>
          <w:shd w:val="clear" w:color="auto" w:fill="FFFFFF"/>
          <w:vertAlign w:val="baseline"/>
        </w:rPr>
        <w:t>：</w:t>
      </w: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w:t>
      </w:r>
      <w:r>
        <w:rPr>
          <w:rFonts w:hint="eastAsia" w:cs="宋体"/>
          <w:i w:val="0"/>
          <w:iCs w:val="0"/>
          <w:caps w:val="0"/>
          <w:color w:val="383838"/>
          <w:spacing w:val="0"/>
          <w:sz w:val="24"/>
          <w:szCs w:val="24"/>
          <w:shd w:val="clear" w:color="auto" w:fill="FFFFFF"/>
          <w:vertAlign w:val="baseline"/>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合同履行期限</w:t>
      </w:r>
      <w:r>
        <w:rPr>
          <w:rFonts w:hint="eastAsia" w:ascii="宋体" w:hAnsi="宋体" w:eastAsia="宋体" w:cs="宋体"/>
          <w:i w:val="0"/>
          <w:iCs w:val="0"/>
          <w:caps w:val="0"/>
          <w:color w:val="383838"/>
          <w:spacing w:val="0"/>
          <w:sz w:val="24"/>
          <w:szCs w:val="24"/>
          <w:shd w:val="clear" w:color="auto"/>
          <w:vertAlign w:val="baseline"/>
        </w:rPr>
        <w:t>：</w:t>
      </w:r>
      <w:r>
        <w:rPr>
          <w:rFonts w:hint="eastAsia" w:cs="宋体"/>
          <w:i w:val="0"/>
          <w:iCs w:val="0"/>
          <w:caps w:val="0"/>
          <w:color w:val="383838"/>
          <w:spacing w:val="0"/>
          <w:sz w:val="24"/>
          <w:szCs w:val="24"/>
          <w:shd w:val="clear" w:color="auto"/>
          <w:vertAlign w:val="baseline"/>
          <w:lang w:val="en-US" w:eastAsia="zh-CN"/>
        </w:rPr>
        <w:t>2026年2月1日至2027年1月31日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cs="宋体"/>
          <w:i w:val="0"/>
          <w:iCs w:val="0"/>
          <w:caps w:val="0"/>
          <w:color w:val="383838"/>
          <w:spacing w:val="0"/>
          <w:sz w:val="24"/>
          <w:szCs w:val="24"/>
          <w:shd w:val="clear" w:color="auto" w:fill="FFFFFF"/>
          <w:vertAlign w:val="baseline"/>
          <w:lang w:val="en-US" w:eastAsia="zh-CN"/>
        </w:rPr>
        <w:t>联合体投标：</w:t>
      </w:r>
      <w:r>
        <w:rPr>
          <w:rFonts w:hint="eastAsia" w:ascii="宋体" w:hAnsi="宋体" w:eastAsia="宋体" w:cs="宋体"/>
          <w:i w:val="0"/>
          <w:iCs w:val="0"/>
          <w:caps w:val="0"/>
          <w:color w:val="383838"/>
          <w:spacing w:val="0"/>
          <w:sz w:val="24"/>
          <w:szCs w:val="24"/>
          <w:shd w:val="clear" w:color="auto" w:fill="FFFFFF"/>
          <w:vertAlign w:val="baseline"/>
        </w:rPr>
        <w:t>不接受</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二、申请人的资格要求：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1.满足《中华人民共和国政府采购法》第二十二条规定；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i w:val="0"/>
          <w:iCs w:val="0"/>
          <w:caps w:val="0"/>
          <w:color w:val="383838"/>
          <w:spacing w:val="0"/>
          <w:sz w:val="24"/>
          <w:szCs w:val="24"/>
          <w:shd w:val="clear" w:color="auto" w:fill="FFFFFF"/>
          <w:vertAlign w:val="baseline"/>
          <w:lang w:val="en-US" w:eastAsia="zh-CN"/>
        </w:rPr>
        <w:t>2</w:t>
      </w:r>
      <w:r>
        <w:rPr>
          <w:rFonts w:hint="eastAsia" w:ascii="宋体" w:hAnsi="宋体" w:eastAsia="宋体" w:cs="宋体"/>
          <w:i w:val="0"/>
          <w:iCs w:val="0"/>
          <w:caps w:val="0"/>
          <w:color w:val="383838"/>
          <w:spacing w:val="0"/>
          <w:sz w:val="24"/>
          <w:szCs w:val="24"/>
          <w:shd w:val="clear" w:color="auto" w:fill="FFFFFF"/>
          <w:vertAlign w:val="baseline"/>
        </w:rPr>
        <w:t>.落实政府采购政策需满足的资格要求：本项目招标</w:t>
      </w:r>
      <w:r>
        <w:rPr>
          <w:rFonts w:hint="eastAsia" w:ascii="宋体" w:hAnsi="宋体" w:eastAsia="宋体" w:cs="宋体"/>
          <w:i w:val="0"/>
          <w:iCs w:val="0"/>
          <w:caps w:val="0"/>
          <w:color w:val="383838"/>
          <w:spacing w:val="0"/>
          <w:sz w:val="24"/>
          <w:szCs w:val="24"/>
          <w:shd w:val="clear" w:color="auto" w:fill="FFFFFF"/>
          <w:vertAlign w:val="baseline"/>
          <w:lang w:eastAsia="zh-CN"/>
        </w:rPr>
        <w:t>专门</w:t>
      </w:r>
      <w:r>
        <w:rPr>
          <w:rFonts w:hint="eastAsia" w:ascii="宋体" w:hAnsi="宋体" w:eastAsia="宋体" w:cs="宋体"/>
          <w:i w:val="0"/>
          <w:iCs w:val="0"/>
          <w:caps w:val="0"/>
          <w:color w:val="383838"/>
          <w:spacing w:val="0"/>
          <w:sz w:val="24"/>
          <w:szCs w:val="24"/>
          <w:shd w:val="clear" w:color="auto" w:fill="FFFFFF"/>
          <w:vertAlign w:val="baseline"/>
        </w:rPr>
        <w:t>面向中小企业。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三、获取采购文件</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shd w:val="clear" w:color="auto" w:fill="FFFFFF"/>
          <w:vertAlign w:val="baseline"/>
          <w:lang w:val="en-US" w:eastAsia="zh-CN"/>
        </w:rPr>
        <w:t>1.</w:t>
      </w:r>
      <w:r>
        <w:rPr>
          <w:rFonts w:hint="eastAsia" w:ascii="宋体" w:hAnsi="宋体" w:eastAsia="宋体" w:cs="宋体"/>
          <w:i w:val="0"/>
          <w:iCs w:val="0"/>
          <w:caps w:val="0"/>
          <w:color w:val="383838"/>
          <w:spacing w:val="0"/>
          <w:sz w:val="24"/>
          <w:szCs w:val="24"/>
          <w:shd w:val="clear" w:color="auto" w:fill="FFFFFF"/>
          <w:vertAlign w:val="baseline"/>
        </w:rPr>
        <w:t>时</w:t>
      </w:r>
      <w:r>
        <w:rPr>
          <w:rFonts w:hint="eastAsia" w:ascii="宋体" w:hAnsi="宋体" w:eastAsia="宋体" w:cs="宋体"/>
          <w:i w:val="0"/>
          <w:iCs w:val="0"/>
          <w:caps w:val="0"/>
          <w:color w:val="383838"/>
          <w:spacing w:val="0"/>
          <w:sz w:val="24"/>
          <w:szCs w:val="24"/>
          <w:highlight w:val="none"/>
          <w:shd w:val="clear" w:color="auto" w:fill="FFFFFF"/>
          <w:vertAlign w:val="baseline"/>
        </w:rPr>
        <w:t>间：202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日至202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18</w:t>
      </w:r>
      <w:r>
        <w:rPr>
          <w:rFonts w:hint="eastAsia" w:ascii="宋体" w:hAnsi="宋体" w:eastAsia="宋体" w:cs="宋体"/>
          <w:i w:val="0"/>
          <w:iCs w:val="0"/>
          <w:caps w:val="0"/>
          <w:color w:val="383838"/>
          <w:spacing w:val="0"/>
          <w:sz w:val="24"/>
          <w:szCs w:val="24"/>
          <w:highlight w:val="none"/>
          <w:shd w:val="clear" w:color="auto" w:fill="FFFFFF"/>
          <w:vertAlign w:val="baseline"/>
        </w:rPr>
        <w:t>日，每天上午9:00至12:00，下午15:00至18:00。（北京时间，法定节假日除外）</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2.</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地点：</w:t>
      </w:r>
      <w:r>
        <w:rPr>
          <w:rFonts w:hint="eastAsia" w:cs="宋体"/>
          <w:sz w:val="24"/>
          <w:szCs w:val="24"/>
          <w:highlight w:val="none"/>
          <w:shd w:val="clear" w:color="auto" w:fill="FFFFFF"/>
          <w:lang w:val="en-US" w:eastAsia="zh-CN"/>
        </w:rPr>
        <w:t>巴彦淖尔市临河区纳帕溪谷E2座1单元102室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3.</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方式：</w:t>
      </w:r>
      <w:r>
        <w:rPr>
          <w:rStyle w:val="36"/>
          <w:rFonts w:hint="eastAsia" w:ascii="宋体" w:hAnsi="宋体" w:eastAsia="宋体" w:cs="宋体"/>
          <w:b w:val="0"/>
          <w:bCs w:val="0"/>
          <w:i w:val="0"/>
          <w:iCs w:val="0"/>
          <w:caps w:val="0"/>
          <w:color w:val="383838"/>
          <w:spacing w:val="0"/>
          <w:sz w:val="24"/>
          <w:szCs w:val="24"/>
          <w:shd w:val="clear" w:color="auto" w:fill="FFFFFF"/>
          <w:vertAlign w:val="baseline"/>
          <w:lang w:eastAsia="zh-CN"/>
        </w:rPr>
        <w:t>现场或</w:t>
      </w:r>
      <w:r>
        <w:rPr>
          <w:rStyle w:val="36"/>
          <w:rFonts w:hint="eastAsia" w:ascii="宋体" w:hAnsi="宋体" w:eastAsia="宋体" w:cs="宋体"/>
          <w:b w:val="0"/>
          <w:bCs w:val="0"/>
          <w:i w:val="0"/>
          <w:iCs w:val="0"/>
          <w:caps w:val="0"/>
          <w:color w:val="383838"/>
          <w:spacing w:val="0"/>
          <w:sz w:val="24"/>
          <w:szCs w:val="24"/>
          <w:shd w:val="clear" w:color="auto" w:fill="FFFFFF"/>
          <w:vertAlign w:val="baseline"/>
          <w:lang w:val="en-US" w:eastAsia="zh-CN"/>
        </w:rPr>
        <w:t>邮箱</w:t>
      </w:r>
      <w:r>
        <w:rPr>
          <w:rStyle w:val="36"/>
          <w:rFonts w:hint="eastAsia" w:ascii="宋体" w:hAnsi="宋体" w:eastAsia="宋体" w:cs="宋体"/>
          <w:b w:val="0"/>
          <w:bCs w:val="0"/>
          <w:i w:val="0"/>
          <w:iCs w:val="0"/>
          <w:caps w:val="0"/>
          <w:color w:val="383838"/>
          <w:spacing w:val="0"/>
          <w:sz w:val="24"/>
          <w:szCs w:val="24"/>
          <w:shd w:val="clear" w:color="auto" w:fill="FFFFFF"/>
          <w:vertAlign w:val="baseline"/>
        </w:rPr>
        <w:t>报名</w:t>
      </w:r>
      <w:r>
        <w:rPr>
          <w:rStyle w:val="36"/>
          <w:rFonts w:hint="eastAsia" w:cs="宋体"/>
          <w:b w:val="0"/>
          <w:bCs w:val="0"/>
          <w:i w:val="0"/>
          <w:iCs w:val="0"/>
          <w:caps w:val="0"/>
          <w:color w:val="383838"/>
          <w:spacing w:val="0"/>
          <w:sz w:val="24"/>
          <w:szCs w:val="24"/>
          <w:highlight w:val="none"/>
          <w:shd w:val="clear" w:color="auto" w:fill="FFFFFF"/>
          <w:vertAlign w:val="baseline"/>
          <w:lang w:eastAsia="zh-CN"/>
        </w:rPr>
        <w:t>，</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合格者发放采购文件至报名邮箱</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default" w:ascii="宋体" w:hAnsi="宋体" w:eastAsia="宋体" w:cs="宋体"/>
          <w:b w:val="0"/>
          <w:bCs w:val="0"/>
          <w:i w:val="0"/>
          <w:iCs w:val="0"/>
          <w:caps w:val="0"/>
          <w:color w:val="383838"/>
          <w:spacing w:val="0"/>
          <w:sz w:val="24"/>
          <w:szCs w:val="24"/>
          <w:highlight w:val="none"/>
          <w:shd w:val="clear" w:color="auto" w:fill="FFFFFF"/>
          <w:vertAlign w:val="baseline"/>
          <w:lang w:val="en-US"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4.</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售价：</w:t>
      </w:r>
      <w:r>
        <w:rPr>
          <w:rStyle w:val="36"/>
          <w:rFonts w:hint="eastAsia" w:cs="宋体"/>
          <w:b w:val="0"/>
          <w:bCs w:val="0"/>
          <w:i w:val="0"/>
          <w:iCs w:val="0"/>
          <w:caps w:val="0"/>
          <w:color w:val="383838"/>
          <w:spacing w:val="0"/>
          <w:sz w:val="24"/>
          <w:szCs w:val="24"/>
          <w:highlight w:val="none"/>
          <w:shd w:val="clear" w:color="auto" w:fill="FFFFFF"/>
          <w:vertAlign w:val="baseline"/>
          <w:lang w:val="en-US" w:eastAsia="zh-CN"/>
        </w:rPr>
        <w:t>0.00元</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四、响应文件</w:t>
      </w:r>
      <w:r>
        <w:rPr>
          <w:rStyle w:val="36"/>
          <w:rFonts w:hint="eastAsia" w:cs="宋体"/>
          <w:b/>
          <w:bCs/>
          <w:i w:val="0"/>
          <w:iCs w:val="0"/>
          <w:caps w:val="0"/>
          <w:color w:val="383838"/>
          <w:spacing w:val="0"/>
          <w:sz w:val="24"/>
          <w:szCs w:val="24"/>
          <w:highlight w:val="none"/>
          <w:shd w:val="clear" w:color="auto" w:fill="FFFFFF"/>
          <w:vertAlign w:val="baseline"/>
          <w:lang w:val="en-US" w:eastAsia="zh-CN"/>
        </w:rPr>
        <w:t>递</w:t>
      </w: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83838"/>
          <w:spacing w:val="0"/>
          <w:sz w:val="24"/>
          <w:szCs w:val="24"/>
          <w:highlight w:val="none"/>
          <w:shd w:val="clear" w:color="auto" w:fill="FFFFFF"/>
          <w:vertAlign w:val="baseline"/>
        </w:rPr>
        <w:t>截止时间：</w:t>
      </w:r>
      <w:r>
        <w:rPr>
          <w:rFonts w:hint="eastAsia" w:ascii="宋体" w:hAnsi="宋体" w:eastAsia="宋体" w:cs="宋体"/>
          <w:i w:val="0"/>
          <w:iCs w:val="0"/>
          <w:caps w:val="0"/>
          <w:color w:val="383838"/>
          <w:spacing w:val="0"/>
          <w:sz w:val="24"/>
          <w:szCs w:val="24"/>
          <w:highlight w:val="none"/>
          <w:shd w:val="clear" w:color="auto" w:fill="FFFFFF"/>
          <w:vertAlign w:val="baseline"/>
          <w:lang w:eastAsia="zh-CN"/>
        </w:rPr>
        <w:t>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24</w:t>
      </w:r>
      <w:r>
        <w:rPr>
          <w:rFonts w:hint="eastAsia" w:ascii="宋体" w:hAnsi="宋体" w:eastAsia="宋体" w:cs="宋体"/>
          <w:i w:val="0"/>
          <w:iCs w:val="0"/>
          <w:caps w:val="0"/>
          <w:color w:val="383838"/>
          <w:spacing w:val="0"/>
          <w:sz w:val="24"/>
          <w:szCs w:val="24"/>
          <w:highlight w:val="none"/>
          <w:shd w:val="clear" w:color="auto" w:fill="FFFFFF"/>
          <w:vertAlign w:val="baseline"/>
        </w:rPr>
        <w:t>日</w:t>
      </w:r>
      <w:r>
        <w:rPr>
          <w:rFonts w:hint="eastAsia" w:cs="宋体"/>
          <w:i w:val="0"/>
          <w:iCs w:val="0"/>
          <w:caps w:val="0"/>
          <w:color w:val="383838"/>
          <w:spacing w:val="0"/>
          <w:sz w:val="24"/>
          <w:szCs w:val="24"/>
          <w:highlight w:val="none"/>
          <w:shd w:val="clear" w:color="auto" w:fill="FFFFFF"/>
          <w:vertAlign w:val="baseline"/>
          <w:lang w:val="en-US" w:eastAsia="zh-CN"/>
        </w:rPr>
        <w:t>9</w:t>
      </w:r>
      <w:r>
        <w:rPr>
          <w:rFonts w:hint="eastAsia" w:ascii="宋体" w:hAnsi="宋体" w:eastAsia="宋体" w:cs="宋体"/>
          <w:i w:val="0"/>
          <w:iCs w:val="0"/>
          <w:caps w:val="0"/>
          <w:color w:val="383838"/>
          <w:spacing w:val="0"/>
          <w:sz w:val="24"/>
          <w:szCs w:val="24"/>
          <w:highlight w:val="none"/>
          <w:shd w:val="clear" w:color="auto" w:fill="FFFFFF"/>
          <w:vertAlign w:val="baseline"/>
        </w:rPr>
        <w:t>点30分（北京时间）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83838"/>
          <w:spacing w:val="0"/>
          <w:sz w:val="24"/>
          <w:szCs w:val="24"/>
          <w:highlight w:val="none"/>
          <w:shd w:val="clear" w:color="auto" w:fill="FFFFFF"/>
          <w:vertAlign w:val="baseline"/>
        </w:rPr>
        <w:t>地点：</w:t>
      </w:r>
      <w:bookmarkStart w:id="5" w:name="OLE_LINK14"/>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bookmarkEnd w:id="5"/>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五、开启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时间：同响应文件递交截止时间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b/>
          <w:bCs/>
          <w:sz w:val="24"/>
          <w:szCs w:val="24"/>
          <w:lang w:eastAsia="zh-CN"/>
        </w:rPr>
      </w:pPr>
      <w:r>
        <w:rPr>
          <w:rFonts w:hint="eastAsia" w:ascii="宋体" w:hAnsi="宋体" w:eastAsia="宋体" w:cs="宋体"/>
          <w:i w:val="0"/>
          <w:iCs w:val="0"/>
          <w:caps w:val="0"/>
          <w:color w:val="383838"/>
          <w:spacing w:val="0"/>
          <w:sz w:val="24"/>
          <w:szCs w:val="24"/>
          <w:shd w:val="clear" w:color="auto" w:fill="FFFFFF"/>
          <w:vertAlign w:val="baseline"/>
        </w:rPr>
        <w:t>地点：</w:t>
      </w: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六、公告期限</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自本公告发布之日起</w:t>
      </w:r>
      <w:r>
        <w:rPr>
          <w:rFonts w:hint="eastAsia" w:cs="宋体"/>
          <w:i w:val="0"/>
          <w:iCs w:val="0"/>
          <w:caps w:val="0"/>
          <w:color w:val="383838"/>
          <w:spacing w:val="0"/>
          <w:sz w:val="24"/>
          <w:szCs w:val="24"/>
          <w:shd w:val="clear" w:color="auto" w:fill="FFFFFF"/>
          <w:vertAlign w:val="baseline"/>
          <w:lang w:val="en-US" w:eastAsia="zh-CN"/>
        </w:rPr>
        <w:t>5</w:t>
      </w:r>
      <w:r>
        <w:rPr>
          <w:rFonts w:hint="eastAsia" w:ascii="宋体" w:hAnsi="宋体" w:eastAsia="宋体" w:cs="宋体"/>
          <w:i w:val="0"/>
          <w:iCs w:val="0"/>
          <w:caps w:val="0"/>
          <w:color w:val="383838"/>
          <w:spacing w:val="0"/>
          <w:sz w:val="24"/>
          <w:szCs w:val="24"/>
          <w:shd w:val="clear" w:color="auto" w:fill="FFFFFF"/>
          <w:vertAlign w:val="baseline"/>
        </w:rPr>
        <w:t>个工作日。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rPr>
      </w:pPr>
      <w:r>
        <w:rPr>
          <w:rStyle w:val="36"/>
          <w:rFonts w:hint="eastAsia" w:ascii="宋体" w:hAnsi="宋体" w:eastAsia="宋体" w:cs="宋体"/>
          <w:b/>
          <w:bCs/>
          <w:i w:val="0"/>
          <w:iCs w:val="0"/>
          <w:caps w:val="0"/>
          <w:color w:val="383838"/>
          <w:spacing w:val="0"/>
          <w:sz w:val="24"/>
          <w:szCs w:val="24"/>
          <w:shd w:val="clear" w:color="auto" w:fill="FFFFFF"/>
          <w:vertAlign w:val="baseline"/>
        </w:rPr>
        <w:t>七、其他补充事宜</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b/>
          <w:bCs/>
          <w:i w:val="0"/>
          <w:iCs w:val="0"/>
          <w:caps w:val="0"/>
          <w:color w:val="383838"/>
          <w:spacing w:val="0"/>
          <w:sz w:val="24"/>
          <w:szCs w:val="24"/>
          <w:shd w:val="clear" w:color="auto" w:fill="FFFFFF"/>
          <w:vertAlign w:val="baseline"/>
        </w:rPr>
        <w:t>获取文件时需要提供以下材料</w:t>
      </w:r>
      <w:r>
        <w:rPr>
          <w:rFonts w:hint="eastAsia" w:ascii="宋体" w:hAnsi="宋体" w:eastAsia="宋体" w:cs="宋体"/>
          <w:i w:val="0"/>
          <w:iCs w:val="0"/>
          <w:caps w:val="0"/>
          <w:color w:val="383838"/>
          <w:spacing w:val="0"/>
          <w:sz w:val="24"/>
          <w:szCs w:val="24"/>
          <w:shd w:val="clear" w:color="auto" w:fill="FFFFFF"/>
          <w:vertAlign w:val="baseline"/>
          <w:lang w:eastAsia="zh-CN"/>
        </w:rPr>
        <w:t>（本项目为资格后审，获取招标文件时提供下述资料加盖公章的</w:t>
      </w:r>
      <w:r>
        <w:rPr>
          <w:rFonts w:hint="eastAsia" w:cs="宋体"/>
          <w:i w:val="0"/>
          <w:iCs w:val="0"/>
          <w:caps w:val="0"/>
          <w:color w:val="383838"/>
          <w:spacing w:val="0"/>
          <w:sz w:val="24"/>
          <w:szCs w:val="24"/>
          <w:shd w:val="clear" w:color="auto" w:fill="FFFFFF"/>
          <w:vertAlign w:val="baseline"/>
          <w:lang w:val="en-US" w:eastAsia="zh-CN"/>
        </w:rPr>
        <w:t>复印</w:t>
      </w:r>
      <w:r>
        <w:rPr>
          <w:rFonts w:hint="eastAsia" w:ascii="宋体" w:hAnsi="宋体" w:eastAsia="宋体" w:cs="宋体"/>
          <w:i w:val="0"/>
          <w:iCs w:val="0"/>
          <w:caps w:val="0"/>
          <w:color w:val="383838"/>
          <w:spacing w:val="0"/>
          <w:sz w:val="24"/>
          <w:szCs w:val="24"/>
          <w:shd w:val="clear" w:color="auto" w:fill="FFFFFF"/>
          <w:vertAlign w:val="baseline"/>
          <w:lang w:eastAsia="zh-CN"/>
        </w:rPr>
        <w:t>件，线上发送至代理公司邮箱并电话告知：</w:t>
      </w:r>
      <w:r>
        <w:rPr>
          <w:rFonts w:hint="eastAsia" w:ascii="宋体" w:hAnsi="宋体" w:eastAsia="宋体" w:cs="宋体"/>
          <w:i w:val="0"/>
          <w:iCs w:val="0"/>
          <w:caps w:val="0"/>
          <w:color w:val="383838"/>
          <w:spacing w:val="0"/>
          <w:sz w:val="24"/>
          <w:szCs w:val="24"/>
          <w:shd w:val="clear" w:color="auto" w:fill="FFFFFF"/>
          <w:vertAlign w:val="baseline"/>
          <w:lang w:val="en-US" w:eastAsia="zh-CN"/>
        </w:rPr>
        <w:t>nmgcbzb</w:t>
      </w:r>
      <w:r>
        <w:rPr>
          <w:rFonts w:hint="eastAsia" w:ascii="宋体" w:hAnsi="宋体" w:eastAsia="宋体" w:cs="宋体"/>
          <w:i w:val="0"/>
          <w:iCs w:val="0"/>
          <w:caps w:val="0"/>
          <w:color w:val="383838"/>
          <w:spacing w:val="0"/>
          <w:sz w:val="24"/>
          <w:szCs w:val="24"/>
          <w:shd w:val="clear" w:color="auto" w:fill="FFFFFF"/>
          <w:vertAlign w:val="baseline"/>
          <w:lang w:eastAsia="zh-CN"/>
        </w:rPr>
        <w:t>@</w:t>
      </w:r>
      <w:r>
        <w:rPr>
          <w:rFonts w:hint="eastAsia" w:ascii="宋体" w:hAnsi="宋体" w:eastAsia="宋体" w:cs="宋体"/>
          <w:i w:val="0"/>
          <w:iCs w:val="0"/>
          <w:caps w:val="0"/>
          <w:color w:val="383838"/>
          <w:spacing w:val="0"/>
          <w:sz w:val="24"/>
          <w:szCs w:val="24"/>
          <w:shd w:val="clear" w:color="auto" w:fill="FFFFFF"/>
          <w:vertAlign w:val="baseline"/>
          <w:lang w:val="en-US" w:eastAsia="zh-CN"/>
        </w:rPr>
        <w:t>126</w:t>
      </w:r>
      <w:r>
        <w:rPr>
          <w:rFonts w:hint="eastAsia" w:ascii="宋体" w:hAnsi="宋体" w:eastAsia="宋体" w:cs="宋体"/>
          <w:i w:val="0"/>
          <w:iCs w:val="0"/>
          <w:caps w:val="0"/>
          <w:color w:val="383838"/>
          <w:spacing w:val="0"/>
          <w:sz w:val="24"/>
          <w:szCs w:val="24"/>
          <w:shd w:val="clear" w:color="auto" w:fill="FFFFFF"/>
          <w:vertAlign w:val="baseline"/>
          <w:lang w:eastAsia="zh-CN"/>
        </w:rPr>
        <w:t>.com，线下至代理公司递交）：</w:t>
      </w:r>
    </w:p>
    <w:p>
      <w:pPr>
        <w:pStyle w:val="2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法定代表人身份证明或授权委托书（经法定代表人签字、公司盖章，附法定代表人和授权人的身份证扫描件。内附</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联系表，内容需体现</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联系人、联系方式、电子邮箱等，格式自拟）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2.有效的营业执照副本；</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3.企业基本账户开户许可证或者开户银行开具的基本账户证明；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4.</w:t>
      </w:r>
      <w:r>
        <w:rPr>
          <w:rFonts w:hint="default" w:cs="宋体"/>
          <w:sz w:val="24"/>
          <w:szCs w:val="24"/>
          <w:shd w:val="clear" w:color="auto" w:fill="FFFFFF"/>
          <w:lang w:val="en-US" w:eastAsia="zh-CN"/>
        </w:rPr>
        <w:t>审查</w:t>
      </w:r>
      <w:r>
        <w:rPr>
          <w:rFonts w:hint="eastAsia" w:cs="宋体"/>
          <w:sz w:val="24"/>
          <w:szCs w:val="24"/>
          <w:shd w:val="clear" w:color="auto" w:fill="FFFFFF"/>
          <w:lang w:val="en-US" w:eastAsia="zh-CN"/>
        </w:rPr>
        <w:t>2024年度</w:t>
      </w:r>
      <w:r>
        <w:rPr>
          <w:rFonts w:hint="default" w:cs="宋体"/>
          <w:sz w:val="24"/>
          <w:szCs w:val="24"/>
          <w:shd w:val="clear" w:color="auto" w:fill="FFFFFF"/>
          <w:lang w:val="en-US" w:eastAsia="zh-CN"/>
        </w:rPr>
        <w:t>的财务审计报告</w:t>
      </w:r>
      <w:r>
        <w:rPr>
          <w:rFonts w:hint="eastAsia" w:cs="宋体"/>
          <w:sz w:val="24"/>
          <w:szCs w:val="24"/>
          <w:shd w:val="clear" w:color="auto" w:fill="FFFFFF"/>
          <w:lang w:val="en-US" w:eastAsia="zh-CN"/>
        </w:rPr>
        <w:t>或</w:t>
      </w:r>
      <w:r>
        <w:rPr>
          <w:rFonts w:hint="default" w:cs="宋体"/>
          <w:sz w:val="24"/>
          <w:szCs w:val="24"/>
          <w:shd w:val="clear" w:color="auto" w:fill="FFFFFF"/>
          <w:lang w:val="en-US" w:eastAsia="zh-CN"/>
        </w:rPr>
        <w:t>财务报表或基本开户银行近一年内出具的资信证明；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w:t>
      </w:r>
      <w:r>
        <w:rPr>
          <w:rFonts w:hint="default" w:cs="宋体"/>
          <w:sz w:val="24"/>
          <w:szCs w:val="24"/>
          <w:shd w:val="clear" w:color="auto" w:fill="FFFFFF"/>
          <w:lang w:val="en-US" w:eastAsia="zh-CN"/>
        </w:rPr>
        <w:t>提供递交</w:t>
      </w:r>
      <w:r>
        <w:rPr>
          <w:rFonts w:hint="eastAsia" w:cs="宋体"/>
          <w:sz w:val="24"/>
          <w:szCs w:val="24"/>
          <w:shd w:val="clear" w:color="auto" w:fill="FFFFFF"/>
          <w:lang w:val="en-US" w:eastAsia="zh-CN"/>
        </w:rPr>
        <w:t>响应</w:t>
      </w:r>
      <w:r>
        <w:rPr>
          <w:rFonts w:hint="default" w:cs="宋体"/>
          <w:sz w:val="24"/>
          <w:szCs w:val="24"/>
          <w:shd w:val="clear" w:color="auto" w:fill="FFFFFF"/>
          <w:lang w:val="en-US" w:eastAsia="zh-CN"/>
        </w:rPr>
        <w:t>文件截止之日前一年内（至少一个月）</w:t>
      </w:r>
      <w:r>
        <w:rPr>
          <w:rFonts w:hint="eastAsia" w:cs="宋体"/>
          <w:sz w:val="24"/>
          <w:szCs w:val="24"/>
          <w:shd w:val="clear" w:color="auto" w:fill="FFFFFF"/>
          <w:lang w:val="en-US" w:eastAsia="zh-CN"/>
        </w:rPr>
        <w:t>依法</w:t>
      </w:r>
      <w:r>
        <w:rPr>
          <w:rFonts w:hint="eastAsia" w:ascii="宋体" w:hAnsi="宋体" w:eastAsia="宋体" w:cs="宋体"/>
          <w:lang w:val="en-US" w:eastAsia="zh-CN"/>
        </w:rPr>
        <w:t>缴纳税收的</w:t>
      </w:r>
      <w:r>
        <w:rPr>
          <w:rFonts w:hint="eastAsia" w:cs="宋体"/>
          <w:sz w:val="24"/>
          <w:szCs w:val="24"/>
          <w:shd w:val="clear" w:color="auto" w:fill="FFFFFF"/>
          <w:lang w:val="en-US" w:eastAsia="zh-CN"/>
        </w:rPr>
        <w:t>凭证或依法</w:t>
      </w:r>
      <w:r>
        <w:rPr>
          <w:rFonts w:hint="eastAsia" w:ascii="宋体" w:hAnsi="宋体" w:eastAsia="宋体" w:cs="宋体"/>
          <w:lang w:val="en-US" w:eastAsia="zh-CN"/>
        </w:rPr>
        <w:t>缴纳税收</w:t>
      </w:r>
      <w:r>
        <w:rPr>
          <w:rFonts w:hint="eastAsia" w:cs="宋体"/>
          <w:sz w:val="24"/>
          <w:szCs w:val="24"/>
          <w:shd w:val="clear" w:color="auto" w:fill="FFFFFF"/>
          <w:lang w:val="en-US" w:eastAsia="zh-CN"/>
        </w:rPr>
        <w:t>承诺函和缴纳社会保险的凭证或依法缴纳社保的资金保障的相关承诺函；（承诺函格式自拟）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注：其他组织和自然人也需要提供缴纳税收的凭据金额缴纳社保的凭据。依法免税或不需要缴纳社会保障资金的投标人，应提供相应文件证明其依法免税或不需要缴纳社会保障资金。</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7.企业法定代表人授权委托书；</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8.企业法定代表人身份证复印件，被委托人身份证；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9.信用记录查询渠道：在“信用中国”网站（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10.企业无被列入政府采购严重违法失信行为记录名单，以《中国政府采购网》（http://www.ccgp.gov.cn/search/cr/）上的截图信息为准，提供网站截图。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pPr>
      <w:r>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t>八、发布媒介</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Style w:val="36"/>
          <w:rFonts w:hint="eastAsia" w:ascii="宋体" w:hAnsi="宋体" w:eastAsia="宋体" w:cs="宋体"/>
          <w:b/>
          <w:bCs/>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本项目磋商公告在内蒙古招标投标公共服务平台：http://www.nmgztb.com.cn、</w:t>
      </w:r>
      <w:r>
        <w:rPr>
          <w:rFonts w:hint="eastAsia" w:ascii="宋体" w:hAnsi="宋体"/>
          <w:szCs w:val="21"/>
        </w:rPr>
        <w:t>中国招标投标公共服务平台：http://www.cebpubservice.com</w:t>
      </w:r>
      <w:r>
        <w:rPr>
          <w:rFonts w:hint="eastAsia" w:cs="宋体"/>
          <w:sz w:val="24"/>
          <w:szCs w:val="24"/>
          <w:shd w:val="clear" w:color="auto" w:fill="FFFFFF"/>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cs="宋体"/>
          <w:b/>
          <w:bCs/>
          <w:i w:val="0"/>
          <w:iCs w:val="0"/>
          <w:caps w:val="0"/>
          <w:color w:val="383838"/>
          <w:spacing w:val="0"/>
          <w:sz w:val="24"/>
          <w:szCs w:val="24"/>
          <w:shd w:val="clear" w:color="auto" w:fill="FFFFFF"/>
          <w:vertAlign w:val="baseline"/>
          <w:lang w:val="en-US" w:eastAsia="zh-CN"/>
        </w:rPr>
        <w:t>九</w:t>
      </w:r>
      <w:r>
        <w:rPr>
          <w:rStyle w:val="36"/>
          <w:rFonts w:hint="eastAsia" w:ascii="宋体" w:hAnsi="宋体" w:eastAsia="宋体" w:cs="宋体"/>
          <w:b/>
          <w:bCs/>
          <w:i w:val="0"/>
          <w:iCs w:val="0"/>
          <w:caps w:val="0"/>
          <w:color w:val="383838"/>
          <w:spacing w:val="0"/>
          <w:sz w:val="24"/>
          <w:szCs w:val="24"/>
          <w:shd w:val="clear" w:color="auto" w:fill="FFFFFF"/>
          <w:vertAlign w:val="baseline"/>
        </w:rPr>
        <w:t>、凡对本次采购提出询问，请按以下方式联系。</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1.采购人信息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名 称：国家税务总局乌拉特前旗税务局</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地址：巴彦淖尔市</w:t>
      </w:r>
      <w:r>
        <w:rPr>
          <w:rFonts w:hint="eastAsia" w:cs="宋体"/>
          <w:i w:val="0"/>
          <w:iCs w:val="0"/>
          <w:caps w:val="0"/>
          <w:color w:val="383838"/>
          <w:spacing w:val="0"/>
          <w:sz w:val="24"/>
          <w:szCs w:val="24"/>
          <w:shd w:val="clear" w:color="auto" w:fill="FFFFFF"/>
          <w:vertAlign w:val="baseline"/>
          <w:lang w:val="en-US" w:eastAsia="zh-CN"/>
        </w:rPr>
        <w:t>乌拉特前旗</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cs="宋体"/>
          <w:i w:val="0"/>
          <w:iCs w:val="0"/>
          <w:caps w:val="0"/>
          <w:color w:val="383838"/>
          <w:spacing w:val="0"/>
          <w:sz w:val="24"/>
          <w:szCs w:val="24"/>
          <w:shd w:val="clear" w:color="auto"/>
          <w:vertAlign w:val="baseline"/>
          <w:lang w:eastAsia="zh-CN"/>
        </w:rPr>
      </w:pPr>
      <w:r>
        <w:rPr>
          <w:rFonts w:hint="eastAsia" w:ascii="宋体" w:hAnsi="宋体" w:eastAsia="宋体" w:cs="宋体"/>
          <w:i w:val="0"/>
          <w:iCs w:val="0"/>
          <w:caps w:val="0"/>
          <w:color w:val="383838"/>
          <w:spacing w:val="0"/>
          <w:sz w:val="24"/>
          <w:szCs w:val="24"/>
          <w:shd w:val="clear" w:color="auto" w:fill="FFFFFF"/>
          <w:vertAlign w:val="baseline"/>
        </w:rPr>
        <w:t>联系方</w:t>
      </w:r>
      <w:r>
        <w:rPr>
          <w:rFonts w:hint="eastAsia" w:ascii="宋体" w:hAnsi="宋体" w:eastAsia="宋体" w:cs="宋体"/>
          <w:i w:val="0"/>
          <w:iCs w:val="0"/>
          <w:caps w:val="0"/>
          <w:color w:val="383838"/>
          <w:spacing w:val="0"/>
          <w:sz w:val="24"/>
          <w:szCs w:val="24"/>
          <w:shd w:val="clear" w:color="auto"/>
          <w:vertAlign w:val="baseline"/>
        </w:rPr>
        <w:t>式：</w:t>
      </w:r>
      <w:r>
        <w:rPr>
          <w:rFonts w:hint="eastAsia" w:cs="宋体"/>
          <w:i w:val="0"/>
          <w:iCs w:val="0"/>
          <w:caps w:val="0"/>
          <w:color w:val="383838"/>
          <w:spacing w:val="0"/>
          <w:sz w:val="24"/>
          <w:szCs w:val="24"/>
          <w:shd w:val="clear" w:color="auto"/>
          <w:vertAlign w:val="baseline"/>
          <w:lang w:eastAsia="zh-CN"/>
        </w:rPr>
        <w:t>石晨辉</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cs="宋体"/>
          <w:i w:val="0"/>
          <w:iCs w:val="0"/>
          <w:caps w:val="0"/>
          <w:color w:val="383838"/>
          <w:spacing w:val="0"/>
          <w:sz w:val="24"/>
          <w:szCs w:val="24"/>
          <w:shd w:val="clear" w:color="auto"/>
          <w:vertAlign w:val="baseli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2.采购代理机构信息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代理机构：内蒙古诚博项目管理有限公司</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联 系 人：刘琴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default" w:cs="宋体"/>
          <w:sz w:val="24"/>
          <w:szCs w:val="24"/>
          <w:shd w:val="clear" w:color="auto" w:fill="FFFFFF"/>
          <w:lang w:val="en-US" w:eastAsia="zh-CN"/>
        </w:rPr>
      </w:pPr>
      <w:r>
        <w:rPr>
          <w:rFonts w:hint="eastAsia" w:cs="宋体"/>
          <w:sz w:val="24"/>
          <w:szCs w:val="24"/>
          <w:shd w:val="clear" w:color="auto" w:fill="FFFFFF"/>
          <w:lang w:val="en-US" w:eastAsia="zh-CN"/>
        </w:rPr>
        <w:t>电 话：15804787797</w:t>
      </w:r>
    </w:p>
    <w:p>
      <w:pPr>
        <w:rPr>
          <w:rFonts w:hint="eastAsia" w:ascii="宋体" w:hAnsi="宋体"/>
          <w:b/>
          <w:szCs w:val="28"/>
        </w:rPr>
      </w:pPr>
      <w:r>
        <w:rPr>
          <w:rFonts w:hint="eastAsia" w:ascii="宋体" w:hAnsi="宋体"/>
          <w:b/>
          <w:szCs w:val="28"/>
        </w:rPr>
        <w:br w:type="page"/>
      </w:r>
    </w:p>
    <w:p>
      <w:pPr>
        <w:pStyle w:val="29"/>
        <w:shd w:val="clear"/>
        <w:spacing w:line="360" w:lineRule="auto"/>
        <w:rPr>
          <w:rFonts w:hint="default" w:ascii="宋体" w:hAnsi="宋体" w:eastAsia="宋体"/>
          <w:bCs w:val="0"/>
          <w:kern w:val="2"/>
          <w:sz w:val="28"/>
          <w:szCs w:val="28"/>
          <w:lang w:val="en-US" w:eastAsia="zh-CN"/>
        </w:rPr>
      </w:pPr>
      <w:bookmarkStart w:id="6" w:name="_Toc5578"/>
      <w:r>
        <w:rPr>
          <w:rFonts w:hint="eastAsia" w:ascii="宋体" w:hAnsi="宋体" w:eastAsia="宋体"/>
          <w:bCs w:val="0"/>
          <w:kern w:val="2"/>
          <w:sz w:val="28"/>
          <w:szCs w:val="28"/>
          <w:lang w:val="en-US" w:eastAsia="zh-CN"/>
        </w:rPr>
        <w:t>第二章 综合磋商须知</w:t>
      </w:r>
      <w:bookmarkEnd w:id="3"/>
      <w:bookmarkEnd w:id="4"/>
      <w:bookmarkEnd w:id="6"/>
    </w:p>
    <w:p>
      <w:pPr>
        <w:spacing w:line="360" w:lineRule="auto"/>
        <w:jc w:val="center"/>
        <w:rPr>
          <w:rFonts w:hint="eastAsia" w:ascii="宋体" w:hAnsi="宋体"/>
          <w:b/>
          <w:sz w:val="24"/>
          <w:szCs w:val="24"/>
        </w:rPr>
      </w:pPr>
      <w:r>
        <w:rPr>
          <w:rFonts w:hint="eastAsia" w:ascii="宋体" w:hAnsi="宋体"/>
          <w:b/>
          <w:sz w:val="24"/>
          <w:szCs w:val="24"/>
          <w:lang w:eastAsia="zh-CN"/>
        </w:rPr>
        <w:t>一、</w:t>
      </w:r>
      <w:r>
        <w:rPr>
          <w:rFonts w:hint="eastAsia" w:ascii="宋体" w:hAnsi="宋体"/>
          <w:b/>
          <w:sz w:val="24"/>
          <w:szCs w:val="24"/>
        </w:rPr>
        <w:t>供应商须知前附表</w:t>
      </w:r>
    </w:p>
    <w:tbl>
      <w:tblPr>
        <w:tblStyle w:val="33"/>
        <w:tblW w:w="9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2297"/>
        <w:gridCol w:w="64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adjustRightInd w:val="0"/>
              <w:snapToGrid w:val="0"/>
              <w:spacing w:line="288" w:lineRule="auto"/>
              <w:jc w:val="center"/>
              <w:textAlignment w:val="auto"/>
              <w:rPr>
                <w:rFonts w:ascii="宋体" w:hAnsi="宋体"/>
                <w:color w:val="000000"/>
                <w:sz w:val="24"/>
                <w:szCs w:val="24"/>
                <w:highlight w:val="none"/>
              </w:rPr>
            </w:pPr>
            <w:r>
              <w:rPr>
                <w:rFonts w:hint="eastAsia" w:ascii="宋体" w:hAnsi="宋体"/>
                <w:color w:val="000000"/>
                <w:sz w:val="24"/>
                <w:szCs w:val="24"/>
                <w:highlight w:val="none"/>
              </w:rPr>
              <w:t>序号</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条款名称</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tabs>
                <w:tab w:val="left" w:pos="0"/>
              </w:tabs>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0" w:leftChars="0" w:firstLine="0" w:firstLineChars="0"/>
              <w:jc w:val="center"/>
              <w:rPr>
                <w:rFonts w:ascii="宋体" w:hAnsi="宋体"/>
                <w:color w:val="000000"/>
                <w:sz w:val="24"/>
                <w:szCs w:val="24"/>
                <w:highlight w:val="none"/>
              </w:rPr>
            </w:pPr>
            <w:r>
              <w:rPr>
                <w:rFonts w:hint="eastAsia" w:ascii="宋体" w:hAnsi="宋体"/>
                <w:color w:val="000000"/>
                <w:sz w:val="24"/>
                <w:szCs w:val="24"/>
                <w:highlight w:val="none"/>
              </w:rPr>
              <w:t>采购人</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w:t>
            </w: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i w:val="0"/>
                <w:iCs w:val="0"/>
                <w:caps w:val="0"/>
                <w:color w:val="383838"/>
                <w:spacing w:val="0"/>
                <w:sz w:val="24"/>
                <w:szCs w:val="24"/>
                <w:shd w:val="clear" w:color="auto"/>
                <w:vertAlign w:val="baseline"/>
                <w:lang w:eastAsia="zh-CN"/>
              </w:rPr>
              <w:t>石晨辉</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Theme="minorEastAsia"/>
                <w:color w:val="000000"/>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采购代理</w:t>
            </w:r>
          </w:p>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机构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w:t>
            </w:r>
            <w:r>
              <w:rPr>
                <w:rFonts w:hint="eastAsia" w:cs="宋体"/>
                <w:sz w:val="24"/>
                <w:szCs w:val="24"/>
                <w:shd w:val="clear" w:color="auto" w:fill="FFFFFF"/>
                <w:lang w:val="en-US" w:eastAsia="zh-CN"/>
              </w:rPr>
              <w:t>内蒙古诚博项目管理有限公司</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w:t>
            </w:r>
            <w:r>
              <w:rPr>
                <w:rFonts w:hint="eastAsia" w:ascii="宋体" w:hAnsi="宋体" w:eastAsia="宋体" w:cs="宋体"/>
                <w:i w:val="0"/>
                <w:caps w:val="0"/>
                <w:color w:val="000000"/>
                <w:spacing w:val="0"/>
                <w:sz w:val="24"/>
                <w:szCs w:val="24"/>
                <w:shd w:val="clear" w:fill="FFFFFF"/>
                <w:lang w:val="en-US" w:eastAsia="zh-CN"/>
              </w:rPr>
              <w:t>巴彦淖尔市临河区纳帕溪谷E2座1单元102室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sz w:val="24"/>
                <w:szCs w:val="24"/>
                <w:shd w:val="clear" w:color="auto" w:fill="FFFFFF"/>
                <w:lang w:val="en-US" w:eastAsia="zh-CN"/>
              </w:rPr>
              <w:t>刘琴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color w:val="000000"/>
                <w:sz w:val="24"/>
                <w:szCs w:val="24"/>
                <w:highlight w:val="none"/>
                <w:lang w:val="en-US"/>
              </w:rPr>
            </w:pPr>
            <w:r>
              <w:rPr>
                <w:rFonts w:hint="eastAsia" w:ascii="宋体" w:hAnsi="宋体" w:eastAsia="宋体" w:cs="宋体"/>
                <w:sz w:val="24"/>
                <w:szCs w:val="24"/>
                <w:highlight w:val="none"/>
                <w:lang w:val="en-US" w:eastAsia="zh-CN"/>
              </w:rPr>
              <w:t>电话：15804787797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项目内容及要求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textAlignment w:val="baseline"/>
              <w:rPr>
                <w:rFonts w:ascii="宋体" w:hAnsi="宋体"/>
                <w:color w:val="000000"/>
                <w:sz w:val="24"/>
                <w:szCs w:val="24"/>
                <w:highlight w:val="none"/>
              </w:rPr>
            </w:pP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详见</w:t>
            </w:r>
            <w:r>
              <w:rPr>
                <w:rFonts w:hint="eastAsia" w:ascii="宋体" w:hAnsi="宋体"/>
                <w:color w:val="000000"/>
                <w:sz w:val="24"/>
                <w:szCs w:val="24"/>
                <w:highlight w:val="none"/>
                <w:lang w:val="en-US" w:eastAsia="zh-CN"/>
              </w:rPr>
              <w:t>综合</w:t>
            </w:r>
            <w:r>
              <w:rPr>
                <w:rFonts w:hint="eastAsia" w:ascii="宋体" w:hAnsi="宋体"/>
                <w:color w:val="000000"/>
                <w:sz w:val="24"/>
                <w:szCs w:val="24"/>
                <w:highlight w:val="none"/>
              </w:rPr>
              <w:t>磋商文件第</w:t>
            </w:r>
            <w:r>
              <w:rPr>
                <w:rFonts w:hint="eastAsia" w:ascii="宋体" w:hAnsi="宋体"/>
                <w:color w:val="000000"/>
                <w:sz w:val="24"/>
                <w:szCs w:val="24"/>
                <w:highlight w:val="none"/>
                <w:lang w:eastAsia="zh-CN"/>
              </w:rPr>
              <w:t>三</w:t>
            </w:r>
            <w:r>
              <w:rPr>
                <w:rFonts w:hint="eastAsia" w:ascii="宋体" w:hAnsi="宋体"/>
                <w:color w:val="000000"/>
                <w:sz w:val="24"/>
                <w:szCs w:val="24"/>
                <w:highlight w:val="none"/>
              </w:rPr>
              <w:t>章</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分包情况</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共</w:t>
            </w:r>
            <w:r>
              <w:rPr>
                <w:rFonts w:hint="eastAsia" w:ascii="宋体" w:hAnsi="宋体"/>
                <w:color w:val="000000"/>
                <w:sz w:val="24"/>
                <w:szCs w:val="24"/>
                <w:highlight w:val="none"/>
                <w:u w:val="single"/>
                <w:lang w:val="en-US" w:eastAsia="zh-CN"/>
              </w:rPr>
              <w:t xml:space="preserve"> 1</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资金来源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rPr>
            </w:pPr>
            <w:r>
              <w:rPr>
                <w:rFonts w:hint="eastAsia" w:ascii="宋体" w:hAnsi="宋体"/>
                <w:color w:val="000000"/>
                <w:sz w:val="24"/>
                <w:szCs w:val="24"/>
                <w:highlight w:val="none"/>
                <w:lang w:val="en-US" w:eastAsia="zh-CN"/>
              </w:rPr>
              <w:t>中财资金，已落实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采购资金支付方式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国库集中支付、</w:t>
            </w: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采购方式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eastAsiaTheme="minorEastAsia"/>
                <w:color w:val="000000"/>
                <w:sz w:val="24"/>
                <w:szCs w:val="24"/>
                <w:highlight w:val="none"/>
                <w:lang w:val="en-US" w:eastAsia="zh-CN"/>
              </w:rPr>
            </w:pPr>
            <w:r>
              <w:rPr>
                <w:rFonts w:hint="eastAsia" w:ascii="宋体" w:hAnsi="宋体"/>
                <w:color w:val="000000"/>
                <w:sz w:val="24"/>
                <w:szCs w:val="24"/>
                <w:highlight w:val="none"/>
                <w:lang w:val="en-US" w:eastAsia="zh-CN"/>
              </w:rPr>
              <w:t>综合磋商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评标办法</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磋商小组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磋商小组构成：3人</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磋商小组专家确定方式：从政府采购专家库中邀请。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成交供应商</w:t>
            </w:r>
          </w:p>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确定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sym w:font="Wingdings" w:char="00A8"/>
            </w:r>
            <w:r>
              <w:rPr>
                <w:rFonts w:hint="eastAsia" w:ascii="宋体" w:hAnsi="宋体"/>
                <w:color w:val="000000"/>
                <w:sz w:val="24"/>
                <w:szCs w:val="24"/>
                <w:highlight w:val="none"/>
              </w:rPr>
              <w:t>采购人授权磋商小组按照评审原则直接确定成交供应商。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☑采购人按照评标报告中推荐的成交候选人确定成交供应商</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投标有效期</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t>从提交响应文件的截止之日起90日历天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递</w:t>
            </w:r>
            <w:r>
              <w:rPr>
                <w:rFonts w:hint="eastAsia" w:ascii="宋体" w:hAnsi="宋体"/>
                <w:color w:val="000000"/>
                <w:sz w:val="24"/>
                <w:szCs w:val="24"/>
                <w:highlight w:val="none"/>
              </w:rPr>
              <w:t>交响应文件</w:t>
            </w:r>
          </w:p>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时间</w:t>
            </w:r>
            <w:r>
              <w:rPr>
                <w:rFonts w:hint="eastAsia" w:ascii="宋体" w:hAnsi="宋体"/>
                <w:color w:val="000000"/>
                <w:sz w:val="24"/>
                <w:szCs w:val="24"/>
                <w:highlight w:val="none"/>
                <w:lang w:val="en-US" w:eastAsia="zh-CN"/>
              </w:rPr>
              <w:t>及地点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截止时间：</w:t>
            </w: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lang w:eastAsia="zh-CN"/>
              </w:rPr>
              <w:t>年</w:t>
            </w:r>
            <w:r>
              <w:rPr>
                <w:rFonts w:hint="eastAsia" w:ascii="宋体" w:hAnsi="宋体"/>
                <w:color w:val="000000"/>
                <w:sz w:val="24"/>
                <w:szCs w:val="24"/>
                <w:highlight w:val="none"/>
                <w:lang w:val="en-US" w:eastAsia="zh-CN"/>
              </w:rPr>
              <w:t>12</w:t>
            </w:r>
            <w:r>
              <w:rPr>
                <w:rFonts w:hint="eastAsia" w:ascii="宋体" w:hAnsi="宋体"/>
                <w:color w:val="000000"/>
                <w:sz w:val="24"/>
                <w:szCs w:val="24"/>
                <w:highlight w:val="none"/>
                <w:lang w:eastAsia="zh-CN"/>
              </w:rPr>
              <w:t>月</w:t>
            </w:r>
            <w:r>
              <w:rPr>
                <w:rFonts w:hint="eastAsia" w:ascii="宋体" w:hAnsi="宋体"/>
                <w:color w:val="000000"/>
                <w:sz w:val="24"/>
                <w:szCs w:val="24"/>
                <w:highlight w:val="none"/>
                <w:lang w:val="en-US" w:eastAsia="zh-CN"/>
              </w:rPr>
              <w:t>24</w:t>
            </w:r>
            <w:r>
              <w:rPr>
                <w:rFonts w:hint="eastAsia" w:ascii="宋体" w:hAnsi="宋体"/>
                <w:color w:val="000000"/>
                <w:sz w:val="24"/>
                <w:szCs w:val="24"/>
                <w:highlight w:val="none"/>
                <w:lang w:eastAsia="zh-CN"/>
              </w:rPr>
              <w:t>日</w:t>
            </w:r>
            <w:r>
              <w:rPr>
                <w:rFonts w:hint="eastAsia" w:ascii="宋体" w:hAnsi="宋体"/>
                <w:color w:val="000000"/>
                <w:sz w:val="24"/>
                <w:szCs w:val="24"/>
                <w:highlight w:val="none"/>
                <w:lang w:val="en-US" w:eastAsia="zh-CN"/>
              </w:rPr>
              <w:t>9</w:t>
            </w:r>
            <w:r>
              <w:rPr>
                <w:rFonts w:hint="eastAsia" w:ascii="宋体" w:hAnsi="宋体"/>
                <w:color w:val="000000"/>
                <w:sz w:val="24"/>
                <w:szCs w:val="24"/>
                <w:highlight w:val="none"/>
                <w:lang w:eastAsia="zh-CN"/>
              </w:rPr>
              <w:t>时30分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同响应文件递交截止时间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eastAsia="zh-CN"/>
              </w:rPr>
            </w:pP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响应文件数量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纸质文本一式叁份，其中正本壹份，副本贰份，正本和副本的封面上应清楚地标记“正本”或“副本”的字样，副本可采用正本的复印件。当副本和正本不一致时，以正本为准。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s="宋体"/>
                <w:sz w:val="24"/>
                <w:szCs w:val="24"/>
                <w:highlight w:val="none"/>
              </w:rPr>
            </w:pPr>
            <w:r>
              <w:rPr>
                <w:rFonts w:hint="eastAsia" w:ascii="宋体" w:hAnsi="宋体" w:cs="宋体"/>
                <w:sz w:val="24"/>
                <w:szCs w:val="24"/>
                <w:highlight w:val="none"/>
              </w:rPr>
              <w:t>现场踏勘</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宋体" w:eastAsiaTheme="minorEastAsia"/>
                <w:sz w:val="24"/>
                <w:szCs w:val="24"/>
                <w:highlight w:val="none"/>
                <w:u w:val="single"/>
                <w:lang w:eastAsia="zh-CN"/>
              </w:rPr>
            </w:pPr>
            <w:r>
              <w:rPr>
                <w:rFonts w:hint="eastAsia" w:ascii="宋体" w:hAnsi="宋体" w:cs="宋体"/>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备选方案</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联合体投标</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□接受、</w:t>
            </w:r>
            <w:r>
              <w:rPr>
                <w:rFonts w:hint="eastAsia" w:ascii="宋体" w:hAnsi="宋体"/>
                <w:color w:val="000000"/>
                <w:sz w:val="24"/>
                <w:szCs w:val="24"/>
                <w:highlight w:val="none"/>
              </w:rPr>
              <w:sym w:font="Wingdings" w:char="00FE"/>
            </w:r>
            <w:r>
              <w:rPr>
                <w:rFonts w:hint="eastAsia" w:ascii="宋体" w:hAnsi="宋体"/>
                <w:color w:val="000000"/>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报价方式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总价报价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履约保证金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color w:val="000000"/>
                <w:sz w:val="24"/>
                <w:szCs w:val="24"/>
                <w:highlight w:val="none"/>
                <w:lang w:eastAsia="zh-CN"/>
              </w:rPr>
            </w:pPr>
            <w:r>
              <w:rPr>
                <w:rFonts w:hint="eastAsia" w:ascii="宋体" w:hAnsi="宋体"/>
                <w:color w:val="000000"/>
                <w:sz w:val="24"/>
                <w:szCs w:val="24"/>
                <w:highlight w:val="none"/>
                <w:lang w:eastAsia="zh-CN"/>
              </w:rPr>
              <w:t>不缴纳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服务期限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sz w:val="24"/>
                <w:szCs w:val="24"/>
                <w:highlight w:val="yellow"/>
                <w:lang w:val="en-US" w:eastAsia="zh-CN"/>
              </w:rPr>
            </w:pPr>
            <w:r>
              <w:rPr>
                <w:rFonts w:hint="eastAsia" w:ascii="宋体" w:hAnsi="宋体" w:eastAsiaTheme="minorEastAsia"/>
                <w:sz w:val="24"/>
                <w:szCs w:val="24"/>
                <w:highlight w:val="none"/>
                <w:lang w:val="en-US" w:eastAsia="zh-CN"/>
              </w:rPr>
              <w:t>2026年2月1日至2027年1月31日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采购机构代理费用</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eastAsia" w:ascii="宋体" w:hAnsi="宋体" w:eastAsia="宋体" w:cs="Times New Roman"/>
                <w:color w:val="000000"/>
                <w:sz w:val="24"/>
                <w:szCs w:val="24"/>
                <w:highlight w:val="none"/>
                <w:lang w:val="en-US" w:eastAsia="zh-CN"/>
              </w:rPr>
            </w:pPr>
            <w:r>
              <w:rPr>
                <w:rFonts w:hint="eastAsia" w:ascii="宋体" w:hAnsi="宋体" w:eastAsia="宋体" w:cs="宋体"/>
                <w:bCs/>
                <w:color w:val="auto"/>
                <w:sz w:val="24"/>
                <w:szCs w:val="24"/>
                <w:highlight w:val="none"/>
                <w:lang w:val="en-US" w:eastAsia="zh-CN"/>
              </w:rPr>
              <w:t>经双方协商，</w:t>
            </w:r>
            <w:r>
              <w:rPr>
                <w:rFonts w:hint="eastAsia" w:ascii="宋体" w:hAnsi="宋体" w:cs="宋体"/>
                <w:bCs/>
                <w:color w:val="auto"/>
                <w:sz w:val="24"/>
                <w:szCs w:val="24"/>
                <w:highlight w:val="none"/>
                <w:lang w:val="en-US" w:eastAsia="zh-CN"/>
              </w:rPr>
              <w:t>按中标金额的1.5%收取，不足1万按1万收取，</w:t>
            </w:r>
            <w:r>
              <w:rPr>
                <w:rFonts w:hint="eastAsia" w:ascii="宋体" w:hAnsi="宋体" w:eastAsia="宋体" w:cs="宋体"/>
                <w:bCs/>
                <w:color w:val="auto"/>
                <w:sz w:val="24"/>
                <w:szCs w:val="24"/>
                <w:highlight w:val="none"/>
                <w:lang w:val="zh-CN"/>
              </w:rPr>
              <w:t>由</w:t>
            </w:r>
            <w:r>
              <w:rPr>
                <w:rFonts w:hint="eastAsia" w:ascii="宋体" w:hAnsi="宋体" w:cs="宋体"/>
                <w:bCs/>
                <w:color w:val="auto"/>
                <w:sz w:val="24"/>
                <w:szCs w:val="24"/>
                <w:highlight w:val="none"/>
                <w:lang w:val="en-US" w:eastAsia="zh-CN"/>
              </w:rPr>
              <w:t>采购人支付</w:t>
            </w:r>
            <w:r>
              <w:rPr>
                <w:rFonts w:hint="eastAsia" w:ascii="宋体" w:hAnsi="宋体" w:eastAsia="宋体" w:cs="宋体"/>
                <w:bCs/>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投标保证金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sz w:val="24"/>
                <w:szCs w:val="24"/>
                <w:highlight w:val="none"/>
                <w:lang w:val="en-US"/>
              </w:rPr>
            </w:pPr>
            <w:r>
              <w:rPr>
                <w:rFonts w:hint="default" w:ascii="宋体" w:hAnsi="宋体"/>
                <w:sz w:val="24"/>
                <w:szCs w:val="24"/>
                <w:highlight w:val="none"/>
                <w:lang w:val="en-US" w:eastAsia="zh-CN"/>
              </w:rPr>
              <w:t>本项目不收取不投标保证金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140" w:rightChars="-50"/>
              <w:jc w:val="center"/>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最高限价</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□无</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☑有，</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最高投标限价：960000元。（单年合同最高投标限价）</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注：本项目设有最高投标限价,供应商的报价超出最高投标限价的均为无效报价，按无效标处理。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28" w:rightChars="-10"/>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供应商资质资格要求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1.满足《中华人民共和国政府采购法》第二十二条规定；</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2.落实政府采购政策需满足的资格要求：本项目招标专门面向中小企业。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近年财务状况的年份要求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2024年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近年完成的类似项目的年份要求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近三年（202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月-至今）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近年发生的诉讼及仲裁情况</w:t>
            </w:r>
          </w:p>
        </w:tc>
        <w:tc>
          <w:tcPr>
            <w:tcW w:w="64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近3年，指20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日起至</w:t>
            </w:r>
            <w:r>
              <w:rPr>
                <w:rFonts w:hint="eastAsia" w:ascii="宋体" w:hAnsi="宋体" w:eastAsia="宋体" w:cs="宋体"/>
                <w:bCs/>
                <w:color w:val="auto"/>
                <w:sz w:val="24"/>
                <w:szCs w:val="24"/>
                <w:highlight w:val="none"/>
                <w:lang w:eastAsia="zh-CN"/>
              </w:rPr>
              <w:t>今</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color w:val="auto"/>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要求澄清招标文件的截止时间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在投标截止时间的5日前以书面形式通知所有磋商文件收受人。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供应商确认收到磋商文件答疑、澄清、修改、补充的时间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自答疑、澄清、修改、补充公告发布时间起12小时内。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rPr>
              <w:t>澄清和修改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有关本次</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的事项若存在变动或修改，以采购代理机构发出的补遗文件为准。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构成</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文件的</w:t>
            </w:r>
          </w:p>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rPr>
              <w:t>其他文件</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磋商文件的澄清、修改书及有关补充通知为磋商文件的有效组成部分。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签字和盖章要求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响应文件应用不褪色的材料书写或打印，并由投标人的法定代表人或被授权代理人（法人代表的签字可用具有法定效力的签字章）在响应文件规定的位置签字并加盖单位公章。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装订要求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1、投标人应将响应文件按规定顺序牢固装订成册（A4纸幅，图表除外），并编制目录且逐页标注页码。</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2、纸质响应文件应装订牢固、不易拆散和换页，不得采用活页装订。凡活页装订均被视为不牢固装订。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3、牢固装订成册是指投标人采用胶装方式牢固装订成册，以保证响应文件不致于散开或用简单方法将任何一页在没有任何损坏的情况下去除或插入。（注意</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必须连续装订，不得只用订书钉简单装订，不得出现替换页，如用双面胶、固体胶水等方法粘结。）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包封要求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响应文件的正本、副本应分别装袋密封，封袋上应清楚地注明“正本”或“副本”字样，加贴封条，并在封套的封口处加盖供应商单位公章。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封套上应载明的信息</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纸质文件均须密封递交。封套上写明：</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项目编号：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 购 人：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采购代理机构：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供应商地址：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   年   月  日   午  时   分前不得开启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政府采购</w:t>
            </w:r>
            <w:r>
              <w:rPr>
                <w:rFonts w:hint="eastAsia" w:ascii="宋体" w:hAnsi="宋体" w:eastAsia="宋体" w:cs="宋体"/>
                <w:kern w:val="0"/>
                <w:sz w:val="24"/>
                <w:szCs w:val="24"/>
                <w:highlight w:val="none"/>
                <w:lang w:val="en-US" w:eastAsia="zh-CN"/>
              </w:rPr>
              <w:t>政策</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政府采购支持中小企业、监狱企业、残疾人福利性单位发展：</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sym w:font="Wingdings" w:char="00FE"/>
            </w:r>
            <w:r>
              <w:rPr>
                <w:rFonts w:hint="eastAsia" w:ascii="宋体" w:hAnsi="宋体" w:eastAsia="宋体" w:cs="宋体"/>
                <w:bCs/>
                <w:color w:val="auto"/>
                <w:sz w:val="24"/>
                <w:szCs w:val="24"/>
                <w:highlight w:val="none"/>
                <w:lang w:val="zh-CN"/>
              </w:rPr>
              <w:t>专门面向中小企业采购，本项目为专门面向中小企业采购项目，供应商应提供中小企业声明函，评审时不再执行价格评审优惠的扶持政策。</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zh-CN"/>
              </w:rPr>
              <w:t>非专门面向中小企业、监狱企业、残疾人福利性单位采购</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strike w:val="0"/>
                <w:color w:val="auto"/>
                <w:kern w:val="0"/>
                <w:sz w:val="24"/>
                <w:szCs w:val="24"/>
                <w:highlight w:val="none"/>
                <w:lang w:val="en-US" w:eastAsia="zh-CN" w:bidi="ar-SA"/>
              </w:rPr>
            </w:pPr>
            <w:r>
              <w:rPr>
                <w:rFonts w:hint="eastAsia" w:ascii="宋体" w:hAnsi="宋体" w:eastAsia="宋体" w:cs="宋体"/>
                <w:bCs/>
                <w:color w:val="auto"/>
                <w:sz w:val="24"/>
                <w:szCs w:val="24"/>
                <w:highlight w:val="none"/>
                <w:lang w:val="zh-CN"/>
              </w:rPr>
              <w:t>对于小型或微型企业、监狱企业、残疾人福利性单位参与本项目投标的，给予10%的价格扣除。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项目所属行业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本项目为服务类采购项目，采购标的对应的中小企业划分标准所属行业为</w:t>
            </w:r>
            <w:r>
              <w:rPr>
                <w:rFonts w:hint="eastAsia" w:ascii="宋体" w:hAnsi="宋体" w:cs="宋体"/>
                <w:kern w:val="0"/>
                <w:sz w:val="24"/>
                <w:szCs w:val="24"/>
                <w:highlight w:val="none"/>
                <w:lang w:val="en-US" w:eastAsia="zh-CN"/>
              </w:rPr>
              <w:t>物业管理</w:t>
            </w:r>
            <w:r>
              <w:rPr>
                <w:rFonts w:hint="eastAsia" w:ascii="宋体" w:hAnsi="宋体" w:eastAsia="宋体" w:cs="宋体"/>
                <w:kern w:val="0"/>
                <w:sz w:val="24"/>
                <w:szCs w:val="24"/>
                <w:highlight w:val="none"/>
                <w:lang w:eastAsia="zh-CN"/>
              </w:rPr>
              <w:t>。</w:t>
            </w:r>
          </w:p>
        </w:tc>
      </w:tr>
    </w:tbl>
    <w:p>
      <w:pPr>
        <w:rPr>
          <w:rFonts w:hint="eastAsia" w:ascii="宋体" w:hAnsi="宋体" w:eastAsia="宋体" w:cs="宋体"/>
          <w:b/>
          <w:bCs/>
          <w:color w:val="000000"/>
          <w:sz w:val="24"/>
          <w:szCs w:val="24"/>
          <w:highlight w:val="none"/>
          <w:lang w:val="en-US" w:eastAsia="zh-CN"/>
        </w:rPr>
      </w:pPr>
      <w:bookmarkStart w:id="7" w:name="_Toc3053_WPSOffice_Level2"/>
      <w:bookmarkStart w:id="8" w:name="_Toc9471"/>
      <w:bookmarkStart w:id="9" w:name="_Toc7877_WPSOffice_Level2"/>
      <w:bookmarkStart w:id="10" w:name="_Toc26828"/>
      <w:bookmarkStart w:id="11" w:name="_Toc32082"/>
      <w:bookmarkStart w:id="12" w:name="_Toc13480"/>
      <w:bookmarkStart w:id="13" w:name="_Toc422403355"/>
      <w:bookmarkStart w:id="14" w:name="_Toc20569"/>
      <w:bookmarkStart w:id="15" w:name="_Toc14168_WPSOffice_Level2"/>
      <w:bookmarkStart w:id="16" w:name="_Toc266431117"/>
      <w:bookmarkStart w:id="17" w:name="_Toc22692_WPSOffice_Level2"/>
      <w:bookmarkStart w:id="18" w:name="_Toc28419_WPSOffice_Level2"/>
      <w:bookmarkStart w:id="19" w:name="_Toc18363_WPSOffice_Level2"/>
      <w:bookmarkStart w:id="20" w:name="_Toc22901_WPSOffice_Level2"/>
      <w:bookmarkStart w:id="21" w:name="_Toc27706"/>
      <w:bookmarkStart w:id="22" w:name="_Toc447030613"/>
      <w:bookmarkStart w:id="23" w:name="_Toc266431157"/>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二、总则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 </w:t>
      </w:r>
      <w:r>
        <w:rPr>
          <w:rFonts w:hint="eastAsia" w:ascii="宋体" w:hAnsi="宋体" w:eastAsia="宋体" w:cs="宋体"/>
          <w:b/>
          <w:bCs/>
          <w:color w:val="000000"/>
          <w:sz w:val="24"/>
          <w:szCs w:val="24"/>
          <w:highlight w:val="none"/>
        </w:rPr>
        <w:t>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bookmarkStart w:id="24" w:name="_Toc3337_WPSOffice_Level3"/>
      <w:bookmarkStart w:id="25" w:name="_Toc542_WPSOffice_Level3"/>
      <w:bookmarkStart w:id="26" w:name="_Toc2682_WPSOffice_Level3"/>
      <w:r>
        <w:rPr>
          <w:rFonts w:hint="eastAsia" w:ascii="宋体" w:hAnsi="宋体" w:eastAsia="宋体" w:cs="宋体"/>
          <w:bCs/>
          <w:color w:val="000000"/>
          <w:sz w:val="24"/>
          <w:szCs w:val="24"/>
          <w:highlight w:val="none"/>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磋商文件依据《中华人民共和国政府采购法》《中华人民共和国政府采购法实施条例》及国家和自治区有关法律、法规、规章制度编制。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供应商应仔细阅读本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磋商文件的所有内容（包括答疑、补充、澄清以及修改等），按照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本次政府采购方式为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磋商采购，是指采购人、政府采购代理机构通过组建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磋商小组（以下简称磋商小组）与符合条件的供应商就采购服务事宜进行磋商，供应商按照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磋商文件的要求提交响应文件和报价，采购人从磋商小组评审后提出的候选供应商名单中确定成交供应商的采购方式。</w:t>
      </w:r>
    </w:p>
    <w:bookmarkEnd w:id="24"/>
    <w:bookmarkEnd w:id="25"/>
    <w:bookmarkEnd w:id="26"/>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磋商文件所称服务,是指除货物和工程以外的其他采购对象。</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2.1.1 </w:t>
      </w:r>
      <w:r>
        <w:rPr>
          <w:rFonts w:hint="eastAsia" w:ascii="宋体" w:hAnsi="宋体" w:eastAsia="宋体" w:cs="宋体"/>
          <w:b/>
          <w:bCs/>
          <w:color w:val="000000"/>
          <w:sz w:val="24"/>
          <w:szCs w:val="24"/>
          <w:highlight w:val="none"/>
        </w:rPr>
        <w:t>当事人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2.1.1.1</w:t>
      </w:r>
      <w:r>
        <w:rPr>
          <w:rFonts w:hint="eastAsia" w:ascii="宋体" w:hAnsi="宋体" w:eastAsia="宋体" w:cs="宋体"/>
          <w:bCs/>
          <w:color w:val="000000"/>
          <w:sz w:val="24"/>
          <w:szCs w:val="24"/>
          <w:highlight w:val="none"/>
        </w:rPr>
        <w:t>采购人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2.1.1.2</w:t>
      </w:r>
      <w:r>
        <w:rPr>
          <w:rFonts w:hint="eastAsia" w:ascii="宋体" w:hAnsi="宋体" w:eastAsia="宋体" w:cs="宋体"/>
          <w:bCs/>
          <w:color w:val="000000"/>
          <w:sz w:val="24"/>
          <w:szCs w:val="24"/>
          <w:highlight w:val="none"/>
        </w:rPr>
        <w:t>供应商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指响应采购要求且符合</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磋商文件规定的资格条件和参加报价竞争的法人、其他组织或者自然人。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2.1.1.3</w:t>
      </w:r>
      <w:r>
        <w:rPr>
          <w:rFonts w:hint="eastAsia" w:ascii="宋体" w:hAnsi="宋体" w:eastAsia="宋体" w:cs="宋体"/>
          <w:bCs/>
          <w:color w:val="000000"/>
          <w:sz w:val="24"/>
          <w:szCs w:val="24"/>
          <w:highlight w:val="none"/>
        </w:rPr>
        <w:t>磋商小组：指根据《中华人民共和国政府采购法》、《中华人民共和国政府采购法实施条例》等法律法规规定，由有关专家组成以确定成交供应商的临时组织。</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2.1.1.4</w:t>
      </w:r>
      <w:r>
        <w:rPr>
          <w:rFonts w:hint="eastAsia" w:ascii="宋体" w:hAnsi="宋体" w:eastAsia="宋体" w:cs="宋体"/>
          <w:bCs/>
          <w:color w:val="000000"/>
          <w:sz w:val="24"/>
          <w:szCs w:val="24"/>
          <w:highlight w:val="none"/>
        </w:rPr>
        <w:t>成交供应商：指经磋商确定的满足</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磋商文件实质性响应要求且综合评分最高的，取得与采购人签订合同资格的供应商。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2.1.1.5</w:t>
      </w:r>
      <w:r>
        <w:rPr>
          <w:rFonts w:hint="eastAsia" w:ascii="宋体" w:hAnsi="宋体" w:eastAsia="宋体" w:cs="宋体"/>
          <w:bCs/>
          <w:color w:val="000000"/>
          <w:sz w:val="24"/>
          <w:szCs w:val="24"/>
          <w:highlight w:val="none"/>
        </w:rPr>
        <w:t>采购代理机构：见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2.1.2 磋商依据及原则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2.1.2.1《中华人民共和国政府采购法》；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2.1.2.2《中华人民共和国政府采购法实施条例》；</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2.1.2.3《中华人民共和国民法典》；</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2.1.2.4《政府采购质疑和投诉办法》；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2.1.2.5其他有关法律、行政法规及内蒙古自治区地方规范性文件。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2.1.3供应商相关要求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2.1.3.1符合《中华人民共和国政府采购法》第二十二条规定的条件；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2.1.3.2符合本磋商文件规定的资格要求，并按照要求提供相关证明材料；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2.1.3.3法定代表人为同一个人的两个以及两个以上法人，母公司、全资子公司以及其控股公司或者存在管理关系的不同单位，都不得在同一标包或者未划分标包的同一采购项目同时报价；</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2.1.3.4供应商不得直接或者间接地与为本次采购的工程进行设计、编制规范等文件所委托的咨询公司或者其附属机构有任何关联。</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2.1.3.5供应商提供的证明材料内容必须真实、完整、有效。</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2.1.4保密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参与磋商活动的当事人应对磋商文件和响应文件中的商业秘密、技术秘密和个人隐私等保密，违者应对由此造成的后果承担法律责任。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2.1.5语言文字以及度量衡单位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2.1.5.1所有文件使用的语言文字为中文。专用术语使用外文的，应附有中文注释；</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2.1.5.2所有计量均采用中华人民共和国法定的计量单位；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2.1.5.3所有报价一律使用人民币，货币单位：元。</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2.1.6踏勘现场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2.1.6.1磋商文件规定组织踏勘现场的，采购人必须按照规定时间、地点组织供应商踏勘项目现场，以获取有关编制响应文件和签署合同所涉及现场的资料。供应商承担踏勘现场所发生的自身费用、责任和风险。</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2.1.6.2采购人向供应商提供的有关现场的资料和数据，是采购人现有的能被供应商利用的资料，采购人不对供应商由此而做出的推论、理解和结论负责。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2.1.6.3供应商经采购人允许，可进入项目现场踏勘，但不得因此使采购人承担有关责任和蒙受损失。除采购人原因外，供应商应对踏勘现场而造成的人员伤亡、财产损失以及由此引起的连带责任和费用负责。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2.1.7答疑</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2.1.7.1供应商对磋商文件、踏勘现场有询问或者疑问，需采购人解答或者答疑时，应于</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磋商须知前附表规定时间前，以加盖供应商单位公章的书面文件提出，采用信函、传真或者直接送达的形式通知采购代理机构，同时将电子版文件以电子邮件的形式发送至代理机构指定邮箱。</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2.1.7.2供应商未在规定时间内提出询问或者疑问，视为认同磋商文件以及答疑文件内的所有要求，供应商未按照磋商文件、解答或者答疑要求报价的，后果自负。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7" w:name="2.1.9 偏离"/>
      <w:bookmarkEnd w:id="27"/>
      <w:r>
        <w:rPr>
          <w:rFonts w:hint="eastAsia" w:ascii="宋体" w:hAnsi="宋体" w:eastAsia="宋体" w:cs="宋体"/>
          <w:b/>
          <w:bCs/>
          <w:color w:val="000000"/>
          <w:sz w:val="24"/>
          <w:szCs w:val="24"/>
          <w:highlight w:val="none"/>
          <w:lang w:val="en-US" w:eastAsia="zh-CN"/>
        </w:rPr>
        <w:t>2.1.8偏离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采购人允许响应文件偏离磋商文件某些非实质性要求的，偏离应当符合磋商文件规定的偏离范围、幅度和项数。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8" w:name="2.1.10 其他条款"/>
      <w:bookmarkEnd w:id="28"/>
      <w:r>
        <w:rPr>
          <w:rFonts w:hint="eastAsia" w:ascii="宋体" w:hAnsi="宋体" w:eastAsia="宋体" w:cs="宋体"/>
          <w:b/>
          <w:bCs/>
          <w:color w:val="000000"/>
          <w:sz w:val="24"/>
          <w:szCs w:val="24"/>
          <w:highlight w:val="none"/>
          <w:lang w:val="en-US" w:eastAsia="zh-CN"/>
        </w:rPr>
        <w:t>2.1.9其他条款</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2.1.9.1供应商成交后直至验收止，成交供应商不得以任何形式和理由转包或者分包，如出现上述情形，采购人向财政部门提出申请并经批准后，可取消其成交资格，并与其解除合同，由此引起的经济损失全部由成交供应商承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2.1.9.2不论磋商过程和结果如何，供应商的响应文件均不退还。</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2.1.9.3除非有特殊要求，磋商文件不单独提供项目所在地的自然环境、气候条件、公用设施等情况，供应商被视为熟悉上述与履行合同有关的一切情况。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 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2.2.1 磋商文件的构成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磋商文件主要由以下部分组成：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磋商公告；</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磋商须知；</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（3）合同与验收；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（4）采购内容与技术要求；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（5）供应商应当提交的资格、资信证明文件；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（6）评审；</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（7）响应文件格式与要求。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2.2.2 磋商文件的澄清或者修改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2.2.2.1供应商应认真阅读磋商文件，发现其中有误或有不合理要求的，应在响应截止日期前以书面形式要求采购代理机构澄清。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2.2.2.2采购代理机构对已发出的磋商文件进行必要澄清、答复、修改或补充的，应当在响应截止时间5日前在本项目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更正公告，自发布之日起，视为供应商已收到该澄清、答复、修改或补充文件。供应商未及时关注采购代理机构在网站上发布的澄清、答复、修改或补充文件造成的损失，由供应商自行负责。发布更正公告距响应截止时间不足5日的，应当顺延提交首次响应文件截止时间。</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2.2.2.3澄清、答复、修改、补充的内容为磋商文件的组成部分。当澄清、答复、修改、补充通知就同一内容的表述不一致时，以最后发出的书面文件为准。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2.2.2.4磋商文件的澄清、答复、修改或补充都应该通过本项目采购代理机构以法定形式发布，采购人非通过本机构，不得擅自澄清、答复、修改或补充磋商文件。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2.2.2.5采购代理机构可以视采购具体情况，延长响应文件截止时间和磋商时间，并将变更时间在本项目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公告发布的同一媒体上发布变更公告，供应商未及时关注采购代理机构在网站上发布的变更公告造成的损失，由供应商自行负责。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b/>
          <w:bCs/>
          <w:color w:val="000000"/>
          <w:sz w:val="24"/>
          <w:szCs w:val="24"/>
          <w:highlight w:val="none"/>
          <w:lang w:val="en-US" w:eastAsia="zh-CN"/>
        </w:rPr>
        <w:t>2.3响应文件的报价、编制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2.3.1 报价</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2.3.1.1供应商应按照第三章</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采购内容与技术要求</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 xml:space="preserve">进行报价。投标总价中不得包含招标文件要求以外的内容，否则，在评审 时不予核减。 </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.3.1.</w:t>
      </w: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投标报价包括本项目采购需求和投入使用、实施的所有费用，如主件、标准附件、备品备件、施工、服务、专用工具 、安装、调试、检验、培训、运输、保险、税款等。</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3</w:t>
      </w:r>
      <w:r>
        <w:rPr>
          <w:rFonts w:hint="eastAsia" w:ascii="宋体" w:hAnsi="宋体" w:eastAsia="宋体" w:cs="宋体"/>
          <w:b w:val="0"/>
          <w:bCs w:val="0"/>
          <w:sz w:val="24"/>
          <w:szCs w:val="24"/>
          <w:lang w:val="en-US" w:eastAsia="zh-CN" w:bidi="ar-SA"/>
        </w:rPr>
        <w:t>报价不得有选择性报价和附有条件的报价，且不得等于或者高于采购预算， 否则其报价无效。</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4</w:t>
      </w:r>
      <w:r>
        <w:rPr>
          <w:rFonts w:hint="eastAsia" w:ascii="宋体" w:hAnsi="宋体" w:eastAsia="宋体" w:cs="宋体"/>
          <w:b w:val="0"/>
          <w:bCs w:val="0"/>
          <w:sz w:val="24"/>
          <w:szCs w:val="24"/>
          <w:lang w:val="en-US" w:eastAsia="zh-CN" w:bidi="ar-SA"/>
        </w:rPr>
        <w:t>供应商不得以任何方式或者方法提供报价以外的任何附赠条款。</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5</w:t>
      </w:r>
      <w:r>
        <w:rPr>
          <w:rFonts w:hint="eastAsia" w:ascii="宋体" w:hAnsi="宋体" w:eastAsia="宋体" w:cs="宋体"/>
          <w:b w:val="0"/>
          <w:bCs w:val="0"/>
          <w:sz w:val="24"/>
          <w:szCs w:val="24"/>
          <w:lang w:val="en-US" w:eastAsia="zh-CN" w:bidi="ar-SA"/>
        </w:rPr>
        <w:t>供应商应按照磋商文件要求的内容填写报价，并由法定代表人或其授权代表签署。</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2.3.2响应文件的签署要求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cs="宋体"/>
          <w:b w:val="0"/>
          <w:bCs w:val="0"/>
          <w:sz w:val="24"/>
          <w:szCs w:val="24"/>
          <w:lang w:val="en-US" w:eastAsia="zh-CN" w:bidi="ar-SA"/>
        </w:rPr>
        <w:t>综合</w:t>
      </w:r>
      <w:r>
        <w:rPr>
          <w:rFonts w:hint="eastAsia" w:ascii="宋体" w:hAnsi="宋体" w:eastAsia="宋体" w:cs="宋体"/>
          <w:b w:val="0"/>
          <w:bCs w:val="0"/>
          <w:sz w:val="24"/>
          <w:szCs w:val="24"/>
          <w:lang w:val="en-US" w:eastAsia="zh-CN" w:bidi="ar-SA"/>
        </w:rPr>
        <w:t>磋商文件要求供应商法定代表人或其授权代表签字或盖章处，签字的不得由他人代签。授权代表签字或盖章的，响应文件应附法定代表人授权委托书。</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2.3.3响应文件的盖章要求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供应商在响应文件以及相关书面文件中的单位盖章均指与供应商名称全称相一致的标准公章，不得使用其他形式（如带有“专用章”、“合同章”、“财务章”、“业务章”等）的印章。</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2.3.4 响应文件的时间单位、有效期以及费用</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2.3.3.1除磋商文件中另有规定外，响应文件所使用的“天”、“日”均指日历天， 时、分均为北京时间。</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2.3.3.2磋商有效期为90日历天，即自递交响应文件截止之日起90日历天，响应文件以及其补充、承诺等部分均保持有效。在磋商文件规定的投标有效期满之前，如果出现特殊情况，采购人或者采购代理机构可在投标有效期内要求供应商延长投标有效期， 要求与答复均以书面通知为准并作为磋商文件和响应文件的组成部分。</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2.3.3.3供应商应自行承担其准备和参加磋商活动发生的所有费用。不论磋商结果如何，采购人或者采购代理机构不承担任何费用。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2.3.5 响应文件格式以及编制要求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根据有关规定，响应文件按照以下要求、格式统一编制：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2.3.4.1封面设置。响应文件材料封面设置包括：响应文件、项目名称、项目编号、标包(如有）、供应商全称和日期等（详见前附表要求）。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2.3.4.2响应文件内容。供应商应按照磋商文件的要求以及格式编写响应文件，响应文件应尽量避免加行、涂改、插字或删除，如果出现上述情况，改动之处应加盖单位公章且由供应商的法定代表人或其授权代表签字或盖章确认。</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2.3.4.3响应文件装订。响应文件以A4幅面制作，并编制目录，目录、内容标注连续页码；供应商同时对多个标包报价的，响应文件应按所报价标包分别编制并分册胶装。</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2.3.4.4响应文件密封，响应文件按标包分别密封。</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2.3.4.5响应文件数量以及要求。包括正本1份和副本2份，每份纸质响应文件上明确注明“正本”或者“副本” 字样；正本和副本不一致时，以正本为准。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2.3.6响应文件的组成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2.3.6.1响应文件的组成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响应文件应包括下列内容：</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首轮竞价一览表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授权委托书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供应商基本情况表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提供具有独立承担民事责任的能力的证明材料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提供具有良好的商业信誉和健全的财务会计制度的证明材料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提供依法缴纳税收和社会保障资金的良好记录</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具有履行合同所必须的设备和专业技术能力的声明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参加政府采购前三年内在经营活动中无重大违法记录书面声明</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联合体协议书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中小企业声明函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监狱企业</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残疾人福利性单位声明函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主要商务要求承诺书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技术偏离表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项目管理机构</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服务方案</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供应商业绩情况表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各类证明材料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其他材料：竞标人认为需要提供的其他相关数据资料等。</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2.3.7 投标保证金缴纳以及退还</w:t>
      </w:r>
      <w:r>
        <w:rPr>
          <w:rFonts w:hint="eastAsia" w:ascii="宋体" w:hAnsi="宋体" w:cs="宋体"/>
          <w:b/>
          <w:bCs/>
          <w:color w:val="000000"/>
          <w:sz w:val="24"/>
          <w:szCs w:val="24"/>
          <w:highlight w:val="none"/>
          <w:lang w:val="en-US" w:eastAsia="zh-CN" w:bidi="ar-SA"/>
        </w:rPr>
        <w:t>（不适用）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2.3.7.1保证金缴纳金额及方式：同磋商文件</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须知前附表。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2.3.7.2保证金的退还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（1）供应商在磋商文件要求递交响应文件截止时间前书面要求撤回响应文件的，采购人或者采购代理机构自收到供应商书面撤回文件之日起五日内退还已收取的投标保证金。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（2）采购代理机构在成交通知书发出后五个工作日内退还未成交供应商的保证金，在采购合同签订后五个工作日内退还成交供应商的保证金；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（3）未按规定退还投标保证金的，退还投标保证金时，应退还所收取的投标保证金以及银行同期存款利息。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2.3.7.3投标保证金的没收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有下列情形之一的，投标保证金不予退还：</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供应商在提交响应文件截止时间后撤回响应文件的；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供应商在响应文件中提供虚假材料的；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除因不可抗力或磋商文件认可的情形以外，成交供应商不与采购人签订合同的；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供应商与采购人、其他供应商或者采购代理机构恶意串通的；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磋商文件规定的其他情形。</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2.3.7.4采购代理机构应在没收投标保证金后十个工作日内转入采购人指定账户。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2.3.7.5在磋商过程中，由于供应商的原因给采购代理机构造成损失的，采购代理机构有索赔的权利；给采购人造成损失的，应予以赔偿。</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2.4 供应商应当提交的资格、资信证明文件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2.4.1供应商在响应文件递交截止时间前须提交的商务资格、技术支持等证明材料。供应商的资格证明材料必须真实、有效、完整，其中的字体、印章要清晰。</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 xml:space="preserve">2.5 </w:t>
      </w:r>
      <w:r>
        <w:rPr>
          <w:rFonts w:hint="eastAsia" w:ascii="宋体" w:hAnsi="宋体" w:cs="宋体"/>
          <w:b/>
          <w:bCs/>
          <w:color w:val="000000"/>
          <w:sz w:val="24"/>
          <w:szCs w:val="24"/>
          <w:highlight w:val="none"/>
          <w:lang w:val="en-US" w:eastAsia="zh-CN" w:bidi="ar-SA"/>
        </w:rPr>
        <w:t>综合</w:t>
      </w:r>
      <w:r>
        <w:rPr>
          <w:rFonts w:hint="eastAsia" w:ascii="宋体" w:hAnsi="宋体" w:eastAsia="宋体" w:cs="宋体"/>
          <w:b/>
          <w:bCs/>
          <w:color w:val="000000"/>
          <w:sz w:val="24"/>
          <w:szCs w:val="24"/>
          <w:highlight w:val="none"/>
          <w:lang w:val="en-US" w:eastAsia="zh-CN" w:bidi="ar-SA"/>
        </w:rPr>
        <w:t>磋商（简称磋商）与评审</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2.5.1 磋商小组组成及磋商时间、地点、人员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2.5.1.1磋商小组组成：</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磋商工作由采购代理机构负责组织，具体磋商工作由依法组建的磋商小组负责，磋商小组由相关方面的专家组成。磋商小组的构成：3人，专家确定方式：政府采购专家库随机</w:t>
      </w:r>
      <w:r>
        <w:rPr>
          <w:rFonts w:hint="eastAsia" w:ascii="宋体" w:hAnsi="宋体" w:cs="宋体"/>
          <w:b w:val="0"/>
          <w:bCs w:val="0"/>
          <w:sz w:val="24"/>
          <w:szCs w:val="24"/>
          <w:lang w:val="en-US" w:eastAsia="zh-CN" w:bidi="ar-SA"/>
        </w:rPr>
        <w:t>邀请</w:t>
      </w:r>
      <w:r>
        <w:rPr>
          <w:rFonts w:hint="eastAsia" w:ascii="宋体" w:hAnsi="宋体" w:eastAsia="宋体" w:cs="宋体"/>
          <w:b w:val="0"/>
          <w:bCs w:val="0"/>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（1）磋商时间：响应截止时间后。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磋商参加人员：法定代表人到场的须出示身份证原件；授权委托人到场的须出示身份证原件及经法定代表人和授权委托人签字并加盖供应商公章的“授权委托书”原件。请供应商按时到达指定地点等候当面磋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2.5.2 磋商原则和磋商办法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2.5.2.1磋商小组必须坚持公平、公正、科学和择优的原则。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2.5.2.2磋商办法：综合评分法，具体详见第六章评审。</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2.5.2.3磋商小组应按磋商文件进行磋商，不得擅自更改评审办法。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2.5.2.4在评审过程中，磋商小组任何人不得对某个供应商发表任何倾向性意见，不得向其他磋商小组成员明示或者暗示自己的评审意见。</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2.5.2.5磋商小组成员对需要共同认定的事项存在争议的，按照少数服从多数的原则作出结论。持不同意见的磋商小组成员应当在评审报告上签署不同意见并说明理由，否则视为同意。</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2.5.3 评审程序及磋商要求</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2.5.3.1采购代理机构核实磋商小组成员身份，告知回避要求，宣布评审工作纪律和程序。</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2.5.3.2磋商小组应当对发布公告的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文件（简称磋商文件）进行确认，审查供应商的响应文件并作出评价；要求供应商解释或者澄清其响应文件；编写评审报告；告知采购人、采购代理机构在评审过程中发现的供应商的违法违规行为。</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2.5.3.3采购人或采购代理机构依据法律法规和</w:t>
      </w:r>
      <w:r>
        <w:rPr>
          <w:rFonts w:hint="eastAsia" w:ascii="宋体" w:hAnsi="宋体" w:cs="宋体"/>
          <w:b/>
          <w:bCs/>
          <w:sz w:val="24"/>
          <w:szCs w:val="24"/>
          <w:lang w:val="en-US" w:eastAsia="zh-CN" w:bidi="ar-SA"/>
        </w:rPr>
        <w:t>综合磋商</w:t>
      </w:r>
      <w:r>
        <w:rPr>
          <w:rFonts w:hint="eastAsia" w:ascii="宋体" w:hAnsi="宋体" w:eastAsia="宋体" w:cs="宋体"/>
          <w:b/>
          <w:bCs/>
          <w:sz w:val="24"/>
          <w:szCs w:val="24"/>
          <w:lang w:val="en-US" w:eastAsia="zh-CN" w:bidi="ar-SA"/>
        </w:rPr>
        <w:t>文件的规定，首先对响应文件中的资格证明、投标保证金等进行资格性审查，以确定供应商是否具备响应资格；磋商小组再对通过资格性审查的供应商响应文件的有效性、完整性和对磋商文件的响应程度进行符合性审查，以确定是否对磋商文件的实质性要求做出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负责人或授权委托代表签字或者加盖供应商公章。由授权委托代表签字的，应当附授权委托书。供应商为自然人的，应当由本人签字并附身份证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根据磋商文件规定的程序、评定成交的标准等事项与实质性响应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文件要求的供应商进行磋商。未实质性响应磋商文件的响应文件按无效处理，磋商小组应当告知有关供应商。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磋商小组所有成员应当按已确定的磋商顺序分别与单一供应商分别进行磋商，并给予所有实质性响应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文件要求的供应商平等的磋商机会。</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磋商中，磋商小组不得透露与磋商有关的其他供应商的技术资料、价格和其他信息。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采购代理机构对磋商过程和重要磋商内容进行记录，磋商双方在记录上签字确认。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2.5.3.4在磋商过程中，磋商小组可以根据磋商文件和磋商情况实质性变动项目需求中的技术、服务要求以及合同草案条款，但不得变动磋商文件中的其他内容。实质性变动的内容，须经采购人代表确认。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供应商应当按照磋商文件的变动情况和磋商小组的要求重新提交响应文件，并由其负责人或授权委托代表签字或者加盖供应商公章。逾时不交的，视同放弃响应。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2.5.3.5最后报价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（1）磋商文件能够详细列明采购标的的技术、服务要求的，磋商结束后，磋商小组应当要求所有继续参加磋商的供应商在规定时间内提交最后报价，提交最后报价的供应商不得少于3家。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文件不能详细列明采购标的的技术、服务要求的，需由磋商供应商提供最终设计方案或解决方案的，磋商结束后，磋商小组应当按照少数服从多数的原则投票推荐3家及以上供应商的设计方案或者解决方案，并要求其在规定时间内提交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（3）已提交响应文件的供应商，在提交最后报价之前，可以根据磋商情况书面退出磋商；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（4）最后报价是供应商响应文件的有效组成部分。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2.5.4 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2.5.4.1磋商小组按</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文件中规定的磋商办法，对资格性审查和符合性审查合格的响应文件进行商务和技术评估，综合比较与评价。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2.5.4.2采购代理机构对评审数据进行校对、核对，对畸高、畸低的重大差异评分提示磋商小组复核或书面说明理由。</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2.5.4.3磋商小组应当根据综合评分情况，按照评审得分由高到低顺序推荐3名以上（含3名）成交候选供应商，并编写评审报告。磋商小组根据综合得分由高到低排列次序，若得分相同时，以磋商文件报价由低到高顺序排列；若得分相同且磋商文件报价相同的，以最后报价由低到高顺序排列；若仍相同的，按技术分由高到低顺序排列并推荐成交候选供应商。</w:t>
      </w:r>
    </w:p>
    <w:p>
      <w:pPr>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2.5.5 在评审过程中出现法律法规和磋商文件均没有明确规定的情形时，由磋商小组现场协商解决，协商不一致的，由全体磋商小组投票表决，以得票率二分之一以上专家的意见为准。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2.5.6 采购代理机构发现磋商小组有明显的违规倾向或歧视现象，或不按磋商办法进行，或其他不正常行为的，应当及时制止。如制止无效，应及时向</w:t>
      </w:r>
      <w:r>
        <w:rPr>
          <w:rFonts w:hint="eastAsia" w:ascii="宋体" w:hAnsi="宋体" w:eastAsia="宋体" w:cs="宋体"/>
          <w:b/>
          <w:bCs/>
          <w:color w:val="auto"/>
          <w:sz w:val="24"/>
          <w:szCs w:val="24"/>
          <w:highlight w:val="none"/>
          <w:lang w:val="en-US" w:eastAsia="zh-CN" w:bidi="ar-SA"/>
        </w:rPr>
        <w:t>政府采购管理办公室</w:t>
      </w:r>
      <w:r>
        <w:rPr>
          <w:rFonts w:hint="eastAsia" w:ascii="宋体" w:hAnsi="宋体" w:eastAsia="宋体" w:cs="宋体"/>
          <w:b/>
          <w:bCs/>
          <w:color w:val="000000"/>
          <w:sz w:val="24"/>
          <w:szCs w:val="24"/>
          <w:highlight w:val="none"/>
          <w:lang w:val="en-US" w:eastAsia="zh-CN" w:bidi="ar-SA"/>
        </w:rPr>
        <w:t>报告。</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2.5.7 本项目是以采购控制价为最高限价，超出采购控制价的最后报价，磋商小组可以不予以评审。当全部最后报价均超出采购控制价时，磋商小组有权决定全部废标或以书面形式要求所有供应商在规定时间内以书面密封形式重新报价。</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2.5.8 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（1）采购人应当确定磋商小组推荐排名第一的供应商为成交供应商。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（2）排名第一的成交候选供应商放弃成交、因不可抗力提出不能履行合同，或者磋商文件规定应当提交履约保证金而在规定的期限内未能提交的，采购人可以确定排名第二的成交候选供应商为成交供应商。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（3）第二成交候选供应商因前款规定的同样原因不能签订合同的，采购人可以确定排名第三的成交候选供应商为成交供应商。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sz w:val="24"/>
          <w:szCs w:val="24"/>
        </w:rPr>
      </w:pPr>
      <w:r>
        <w:rPr>
          <w:rFonts w:hint="eastAsia" w:ascii="宋体" w:hAnsi="宋体" w:eastAsia="宋体" w:cs="宋体"/>
          <w:b/>
          <w:bCs/>
          <w:sz w:val="24"/>
          <w:szCs w:val="24"/>
          <w:lang w:val="en-US" w:eastAsia="zh-CN"/>
        </w:rPr>
        <w:t xml:space="preserve">2.5.9 </w:t>
      </w:r>
      <w:r>
        <w:rPr>
          <w:rFonts w:hint="eastAsia" w:ascii="宋体" w:hAnsi="宋体" w:eastAsia="宋体" w:cs="宋体"/>
          <w:b/>
          <w:sz w:val="24"/>
          <w:szCs w:val="24"/>
        </w:rPr>
        <w:t>属于下列情况之一者，响应无效：</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（1）未按磋商文件规定完整提交响应文件或未按规定要求密封、签字、盖章的，或未提供授权委托书（委托代理的）；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（2）不具备磋商文件规定的资格要求的；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（3）响应文件未按磋商文件的内容和要求编制，或提供虚假材料的；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（4）响应有效期、服务时间、服务承诺不能满足磋商文件要求的；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（5）供应商未就“采购需求”中的所有内容作完整报价的；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（6）未在磋商小组规定的时间内递交响应文件的；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（7）未满足磋商文件全部实质性要求的；或者响应文件有采购人不能接受的附加条件的；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（8）未按规定向采购代理机构购买本项目磋商文件的（有文件规定除外）；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（9）不符合法律、法规和磋商文件规定的其他实质性要求和条件的。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2.5.10 出现下列情形之一的，采购人或者采购代理机构应当终止</w:t>
      </w:r>
      <w:r>
        <w:rPr>
          <w:rFonts w:hint="eastAsia" w:ascii="宋体" w:hAnsi="宋体" w:cs="宋体"/>
          <w:b/>
          <w:bCs/>
          <w:sz w:val="24"/>
          <w:szCs w:val="24"/>
          <w:lang w:val="en-US" w:eastAsia="zh-CN"/>
        </w:rPr>
        <w:t>综合磋商</w:t>
      </w:r>
      <w:r>
        <w:rPr>
          <w:rFonts w:hint="eastAsia" w:ascii="宋体" w:hAnsi="宋体" w:eastAsia="宋体" w:cs="宋体"/>
          <w:b/>
          <w:bCs/>
          <w:sz w:val="24"/>
          <w:szCs w:val="24"/>
          <w:lang w:val="en-US" w:eastAsia="zh-CN"/>
        </w:rPr>
        <w:t>采购活动，发布项目终止公告并说明原因，重新开展采购活动：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（1）因情况变化，不再符合规定的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采购方式适用情形的；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（2）出现影响采购公正的违法、违规行为的；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bidi="ar-SA"/>
        </w:rPr>
        <w:t>（3）在采购过程中符合要求的供应商或者报价未超过采购预算的供应商不足3家的。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2.5.11 磋商过程的监控</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本项目磋商过程实行全程录音、录像监控，供应商在磋商过程中所进行的试图影响磋商结果的不公正活动，可能导致其响应被拒绝。</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2.5.12 成交公告及成交通知书</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2.5.12.2在发布成交公告的同时，采购代理机构向成交供应商发出成交通知书。如成交供应商自接到通知之日起七个工作日内，不办理成交通知书领取手续的，按违约处理。采购人将取消其成交资格，成交供应商的全部投标保证金不予退还，从磋商小组推荐的成交候选供应商中按顺序重新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2.2.12.3采购代理机构无义务向未成交的供应商解释未成交原因和退还响应文件。</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 签订合同</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2.6.1 履约保证金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2.6.1.1在签订合同前，成交供应商应向采购人提交履约保证金，履约保证金</w:t>
      </w:r>
      <w:r>
        <w:rPr>
          <w:rFonts w:hint="eastAsia" w:ascii="宋体" w:hAnsi="宋体" w:eastAsia="宋体" w:cs="宋体"/>
          <w:b w:val="0"/>
          <w:bCs w:val="0"/>
          <w:sz w:val="24"/>
          <w:szCs w:val="24"/>
          <w:highlight w:val="none"/>
          <w:u w:val="single"/>
          <w:lang w:val="en-US" w:eastAsia="zh-CN" w:bidi="ar-SA"/>
        </w:rPr>
        <w:t>按合同约定</w:t>
      </w:r>
      <w:r>
        <w:rPr>
          <w:rFonts w:hint="eastAsia" w:ascii="宋体" w:hAnsi="宋体" w:eastAsia="宋体" w:cs="宋体"/>
          <w:b w:val="0"/>
          <w:bCs w:val="0"/>
          <w:sz w:val="24"/>
          <w:szCs w:val="24"/>
          <w:highlight w:val="none"/>
          <w:lang w:val="en-US" w:eastAsia="zh-CN" w:bidi="ar-SA"/>
        </w:rPr>
        <w:t>。交纳时请写明采购项目名称及项目编号。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2.6.1.2如果成交供应商没能按上述规定执行，采购代理机构将上报采购人，取消该成交资格，其投标保证金不予退还，并有权授予第二成交候选供应商为成交供应商资格或重新组织采购。</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2.6.1.3验收合格后，成交供应商将《验收报告单》送交采购单位,并凭《验收报告单》和履约保证金收据原件办理履约保证金退款手续，采购单位在十五个工作日内将履约保证金（无息）退还给成交供应商。如成交供应商不按双方签订的合同规定履约，则没收其全部履约保证金，履约保证金不足以赔偿损失的，按实际损失赔偿。</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2.6.1.4在履约保证金到期退还前，若成交供应商的开户名称、开户银行、账号有变动的，以书面形式通知采购单位，否则由此产生的后果由成交供应商自负。</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2.6.2 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2.6.2.1签订合同时间：成交通知书发出之日起30日内。成交供应商领取成交通知书后，应按规定与采购人签订合同。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2.6.2.2如成交供应商有下列情形之一的，成交供应商全部投标保证金不予退还，并上缴同级财政国库，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（1）成交后不与采购人签订合同的（不可抗力除外）；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（2）将成交项目转让给他人，或者在响应文件中未说明，且未经采购人同意，将成交项目分包给他人的；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（3）拒绝履行合同义务的。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default" w:ascii="宋体" w:hAnsi="宋体" w:eastAsia="宋体" w:cs="宋体"/>
          <w:b w:val="0"/>
          <w:bCs w:val="0"/>
          <w:sz w:val="24"/>
          <w:szCs w:val="24"/>
          <w:lang w:val="en-US" w:eastAsia="zh-CN" w:bidi="ar-SA"/>
        </w:rPr>
      </w:pPr>
      <w:r>
        <w:rPr>
          <w:rFonts w:hint="eastAsia" w:ascii="宋体" w:hAnsi="宋体" w:eastAsia="宋体" w:cs="宋体"/>
          <w:b/>
          <w:bCs/>
          <w:sz w:val="24"/>
          <w:szCs w:val="24"/>
          <w:lang w:val="en-US" w:eastAsia="zh-CN"/>
        </w:rPr>
        <w:t>2.7 其他事项</w:t>
      </w:r>
      <w:r>
        <w:rPr>
          <w:rFonts w:hint="eastAsia" w:ascii="宋体" w:hAnsi="宋体" w:cs="宋体"/>
          <w:b/>
          <w:bCs/>
          <w:sz w:val="24"/>
          <w:szCs w:val="24"/>
          <w:lang w:val="en-US" w:eastAsia="zh-CN"/>
        </w:rPr>
        <w:t>/</w:t>
      </w:r>
    </w:p>
    <w:p>
      <w:pPr>
        <w:pStyle w:val="29"/>
        <w:shd w:val="clear"/>
        <w:spacing w:line="360" w:lineRule="auto"/>
        <w:rPr>
          <w:rFonts w:hint="eastAsia" w:ascii="宋体" w:hAnsi="宋体" w:eastAsia="宋体"/>
          <w:bCs w:val="0"/>
          <w:kern w:val="2"/>
          <w:sz w:val="28"/>
          <w:szCs w:val="28"/>
          <w:lang w:val="zh-CN"/>
        </w:rPr>
      </w:pPr>
      <w:r>
        <w:rPr>
          <w:rFonts w:hint="eastAsia" w:ascii="宋体" w:hAnsi="宋体" w:eastAsia="宋体" w:cs="宋体"/>
          <w:b w:val="0"/>
          <w:bCs w:val="0"/>
          <w:sz w:val="24"/>
          <w:szCs w:val="24"/>
          <w:lang w:val="en-US" w:eastAsia="zh-CN" w:bidi="ar-SA"/>
        </w:rPr>
        <w:br w:type="page"/>
      </w:r>
      <w:bookmarkStart w:id="29" w:name="_Toc21263"/>
      <w:r>
        <w:rPr>
          <w:rFonts w:hint="eastAsia" w:ascii="宋体" w:hAnsi="宋体" w:eastAsia="宋体"/>
          <w:bCs w:val="0"/>
          <w:kern w:val="2"/>
          <w:sz w:val="28"/>
          <w:szCs w:val="28"/>
          <w:lang w:val="zh-CN"/>
        </w:rPr>
        <w:t>第三章 采购内容与技术要求</w:t>
      </w:r>
      <w:bookmarkEnd w:id="29"/>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一.项目概况</w:t>
      </w:r>
    </w:p>
    <w:p>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b/>
          <w:bCs/>
          <w:sz w:val="24"/>
          <w:szCs w:val="24"/>
          <w:lang w:eastAsia="zh-CN"/>
        </w:rPr>
        <w:t>局机关大楼概况：</w:t>
      </w:r>
      <w:r>
        <w:rPr>
          <w:rFonts w:hint="eastAsia" w:ascii="宋体" w:hAnsi="宋体" w:eastAsia="宋体" w:cs="宋体"/>
          <w:sz w:val="24"/>
          <w:szCs w:val="24"/>
          <w:lang w:eastAsia="zh-CN"/>
        </w:rPr>
        <w:t>面积：房屋建筑面积7079.33平米(院落不计入此面积)，共6层。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设施：3处会议室，1处阅览室、1处活动室、1处餐厅、每层设卫生间、及若干办公室。</w:t>
      </w:r>
    </w:p>
    <w:p>
      <w:pPr>
        <w:spacing w:line="360" w:lineRule="auto"/>
        <w:ind w:firstLine="482" w:firstLineChars="200"/>
        <w:jc w:val="both"/>
        <w:rPr>
          <w:rFonts w:hint="eastAsia" w:ascii="宋体" w:hAnsi="宋体" w:eastAsia="宋体" w:cs="宋体"/>
          <w:sz w:val="24"/>
          <w:szCs w:val="24"/>
          <w:lang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eastAsia="zh-CN"/>
        </w:rPr>
        <w:t>乌拉山税务分局概况</w:t>
      </w:r>
      <w:r>
        <w:rPr>
          <w:rFonts w:hint="eastAsia" w:ascii="宋体" w:hAnsi="宋体" w:cs="宋体"/>
          <w:b/>
          <w:bCs/>
          <w:sz w:val="24"/>
          <w:szCs w:val="24"/>
          <w:lang w:eastAsia="zh-CN"/>
        </w:rPr>
        <w:t>：</w:t>
      </w:r>
      <w:r>
        <w:rPr>
          <w:rFonts w:hint="eastAsia" w:ascii="宋体" w:hAnsi="宋体" w:eastAsia="宋体" w:cs="宋体"/>
          <w:sz w:val="24"/>
          <w:szCs w:val="24"/>
          <w:lang w:eastAsia="zh-CN"/>
        </w:rPr>
        <w:t>面积：共宗地面积12971.7平米、房屋建筑面积5900.5平米，共5层。设施：2处会议室、1处活动室、1处展厅、若干卫生间、若干办公室及宿舍。附属区域：院落</w:t>
      </w:r>
    </w:p>
    <w:p>
      <w:pPr>
        <w:spacing w:line="360" w:lineRule="auto"/>
        <w:ind w:firstLine="482" w:firstLineChars="200"/>
        <w:jc w:val="both"/>
        <w:rPr>
          <w:rFonts w:hint="eastAsia" w:ascii="宋体" w:hAnsi="宋体" w:eastAsia="宋体" w:cs="宋体"/>
          <w:b/>
          <w:bCs/>
          <w:sz w:val="24"/>
          <w:szCs w:val="24"/>
          <w:lang w:eastAsia="zh-CN"/>
        </w:rPr>
      </w:pPr>
      <w:r>
        <w:rPr>
          <w:rFonts w:hint="eastAsia" w:ascii="宋体" w:hAnsi="宋体" w:cs="宋体"/>
          <w:b/>
          <w:bCs/>
          <w:sz w:val="24"/>
          <w:szCs w:val="24"/>
          <w:lang w:val="en-US" w:eastAsia="zh-CN"/>
        </w:rPr>
        <w:t>3.</w:t>
      </w:r>
      <w:r>
        <w:rPr>
          <w:rFonts w:hint="eastAsia" w:ascii="宋体" w:hAnsi="宋体" w:eastAsia="宋体" w:cs="宋体"/>
          <w:b/>
          <w:bCs/>
          <w:sz w:val="24"/>
          <w:szCs w:val="24"/>
          <w:lang w:eastAsia="zh-CN"/>
        </w:rPr>
        <w:t>乡镇税务分局（所）概况</w:t>
      </w:r>
    </w:p>
    <w:p>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①</w:t>
      </w:r>
      <w:r>
        <w:rPr>
          <w:rFonts w:hint="eastAsia" w:ascii="宋体" w:hAnsi="宋体" w:eastAsia="宋体" w:cs="宋体"/>
          <w:sz w:val="24"/>
          <w:szCs w:val="24"/>
          <w:lang w:eastAsia="zh-CN"/>
        </w:rPr>
        <w:t>新安税务所距乌拉特前旗约30公里，每餐用餐人数不超过10人，土地使用权面积660.57平米，房屋建筑面积474.56平米，共2层，有院落。</w:t>
      </w:r>
    </w:p>
    <w:p>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lang w:eastAsia="zh-CN"/>
        </w:rPr>
        <w:t>额尔登布拉格苏木税务所距乌拉特前旗约25公里，每餐用餐人数不超过10人，共有宗地面积2250平米，房屋建筑面积947.46平米，共2层，有院落。</w:t>
      </w:r>
    </w:p>
    <w:p>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③</w:t>
      </w:r>
      <w:r>
        <w:rPr>
          <w:rFonts w:hint="eastAsia" w:ascii="宋体" w:hAnsi="宋体" w:eastAsia="宋体" w:cs="宋体"/>
          <w:sz w:val="24"/>
          <w:szCs w:val="24"/>
          <w:lang w:eastAsia="zh-CN"/>
        </w:rPr>
        <w:t>大佘太税务所距乌拉特前旗约65公里，每餐用餐人数不超过10人，土地使用权面积867.23平米，房屋建筑面积572.59平米，共2层，有院落。</w:t>
      </w:r>
    </w:p>
    <w:p>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④</w:t>
      </w:r>
      <w:r>
        <w:rPr>
          <w:rFonts w:hint="eastAsia" w:ascii="宋体" w:hAnsi="宋体" w:eastAsia="宋体" w:cs="宋体"/>
          <w:sz w:val="24"/>
          <w:szCs w:val="24"/>
          <w:lang w:eastAsia="zh-CN"/>
        </w:rPr>
        <w:t>明安税务所距乌拉特前旗约120公里，每餐用餐人数不超过10人，土地使用权面积1900.8平米，房屋建筑面积787.49平米，共2层，有院落。</w:t>
      </w:r>
    </w:p>
    <w:p>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⑤</w:t>
      </w:r>
      <w:r>
        <w:rPr>
          <w:rFonts w:hint="eastAsia" w:ascii="宋体" w:hAnsi="宋体" w:eastAsia="宋体" w:cs="宋体"/>
          <w:sz w:val="24"/>
          <w:szCs w:val="24"/>
          <w:lang w:eastAsia="zh-CN"/>
        </w:rPr>
        <w:t>工业园区税务分局距乌拉特前旗约70公里，每餐用餐人数不超过15人，共有宗地面积1248.5平米，房屋建筑面积904.44平米，共2层，有院落。</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二.主要商务要求、技术要求</w:t>
      </w:r>
    </w:p>
    <w:p>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1.主要商务要求</w:t>
      </w:r>
    </w:p>
    <w:p>
      <w:pPr>
        <w:spacing w:line="161" w:lineRule="exact"/>
      </w:pPr>
    </w:p>
    <w:tbl>
      <w:tblPr>
        <w:tblStyle w:val="76"/>
        <w:tblW w:w="87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1818"/>
        <w:gridCol w:w="5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75" w:type="dxa"/>
            <w:vAlign w:val="top"/>
          </w:tcPr>
          <w:p>
            <w:pPr>
              <w:pStyle w:val="83"/>
              <w:spacing w:before="88" w:line="223" w:lineRule="auto"/>
              <w:ind w:left="98"/>
              <w:jc w:val="center"/>
              <w:rPr>
                <w:rFonts w:hint="eastAsia" w:ascii="宋体" w:hAnsi="宋体" w:eastAsia="宋体" w:cs="宋体"/>
                <w:sz w:val="24"/>
                <w:szCs w:val="24"/>
              </w:rPr>
            </w:pPr>
            <w:r>
              <w:rPr>
                <w:rFonts w:hint="eastAsia" w:ascii="宋体" w:hAnsi="宋体" w:eastAsia="宋体" w:cs="宋体"/>
                <w:spacing w:val="-3"/>
                <w:sz w:val="24"/>
                <w:szCs w:val="24"/>
              </w:rPr>
              <w:t>序号</w:t>
            </w:r>
          </w:p>
        </w:tc>
        <w:tc>
          <w:tcPr>
            <w:tcW w:w="1818" w:type="dxa"/>
            <w:vAlign w:val="top"/>
          </w:tcPr>
          <w:p>
            <w:pPr>
              <w:pStyle w:val="83"/>
              <w:spacing w:before="89" w:line="221" w:lineRule="auto"/>
              <w:ind w:left="96"/>
              <w:rPr>
                <w:rFonts w:hint="eastAsia" w:ascii="宋体" w:hAnsi="宋体" w:eastAsia="宋体" w:cs="宋体"/>
                <w:sz w:val="24"/>
                <w:szCs w:val="24"/>
              </w:rPr>
            </w:pPr>
            <w:r>
              <w:rPr>
                <w:rFonts w:hint="eastAsia" w:ascii="宋体" w:hAnsi="宋体" w:eastAsia="宋体" w:cs="宋体"/>
                <w:spacing w:val="-3"/>
                <w:sz w:val="24"/>
                <w:szCs w:val="24"/>
              </w:rPr>
              <w:t>类型</w:t>
            </w:r>
          </w:p>
        </w:tc>
        <w:tc>
          <w:tcPr>
            <w:tcW w:w="5936" w:type="dxa"/>
            <w:vAlign w:val="top"/>
          </w:tcPr>
          <w:p>
            <w:pPr>
              <w:pStyle w:val="83"/>
              <w:spacing w:before="88" w:line="223" w:lineRule="auto"/>
              <w:ind w:left="98"/>
              <w:rPr>
                <w:rFonts w:hint="eastAsia" w:ascii="宋体" w:hAnsi="宋体" w:eastAsia="宋体" w:cs="宋体"/>
                <w:sz w:val="24"/>
                <w:szCs w:val="24"/>
              </w:rPr>
            </w:pPr>
            <w:r>
              <w:rPr>
                <w:rFonts w:hint="eastAsia" w:ascii="宋体" w:hAnsi="宋体" w:eastAsia="宋体" w:cs="宋体"/>
                <w:spacing w:val="-3"/>
                <w:sz w:val="24"/>
                <w:szCs w:val="24"/>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975" w:type="dxa"/>
            <w:vAlign w:val="top"/>
          </w:tcPr>
          <w:p>
            <w:pPr>
              <w:spacing w:before="106" w:line="186" w:lineRule="auto"/>
              <w:ind w:left="119"/>
              <w:jc w:val="center"/>
              <w:rPr>
                <w:rFonts w:hint="eastAsia" w:ascii="宋体" w:hAnsi="宋体" w:eastAsia="宋体" w:cs="宋体"/>
                <w:sz w:val="24"/>
                <w:szCs w:val="24"/>
              </w:rPr>
            </w:pPr>
            <w:r>
              <w:rPr>
                <w:rFonts w:hint="eastAsia" w:ascii="宋体" w:hAnsi="宋体" w:eastAsia="宋体" w:cs="宋体"/>
                <w:sz w:val="24"/>
                <w:szCs w:val="24"/>
              </w:rPr>
              <w:t>1</w:t>
            </w:r>
          </w:p>
        </w:tc>
        <w:tc>
          <w:tcPr>
            <w:tcW w:w="1818" w:type="dxa"/>
            <w:vAlign w:val="center"/>
          </w:tcPr>
          <w:p>
            <w:pPr>
              <w:pStyle w:val="83"/>
              <w:spacing w:before="83" w:line="221" w:lineRule="auto"/>
              <w:ind w:left="102"/>
              <w:jc w:val="center"/>
              <w:rPr>
                <w:rFonts w:hint="eastAsia" w:ascii="宋体" w:hAnsi="宋体" w:eastAsia="宋体" w:cs="宋体"/>
                <w:sz w:val="24"/>
                <w:szCs w:val="24"/>
              </w:rPr>
            </w:pPr>
            <w:r>
              <w:rPr>
                <w:rFonts w:hint="eastAsia" w:cs="宋体"/>
                <w:sz w:val="24"/>
                <w:szCs w:val="24"/>
                <w:lang w:val="en-US" w:eastAsia="zh-CN"/>
              </w:rPr>
              <w:t>服务</w:t>
            </w:r>
            <w:r>
              <w:rPr>
                <w:rFonts w:hint="eastAsia" w:ascii="宋体" w:hAnsi="宋体" w:eastAsia="宋体" w:cs="宋体"/>
                <w:sz w:val="24"/>
                <w:szCs w:val="24"/>
              </w:rPr>
              <w:t>时间</w:t>
            </w:r>
          </w:p>
        </w:tc>
        <w:tc>
          <w:tcPr>
            <w:tcW w:w="5936" w:type="dxa"/>
            <w:vAlign w:val="top"/>
          </w:tcPr>
          <w:p>
            <w:pPr>
              <w:pStyle w:val="83"/>
              <w:spacing w:before="84" w:line="221" w:lineRule="auto"/>
              <w:ind w:left="104"/>
              <w:rPr>
                <w:rFonts w:hint="eastAsia" w:ascii="宋体" w:hAnsi="宋体" w:eastAsia="宋体" w:cs="宋体"/>
                <w:sz w:val="24"/>
                <w:szCs w:val="24"/>
              </w:rPr>
            </w:pPr>
            <w:r>
              <w:rPr>
                <w:rFonts w:hint="eastAsia" w:ascii="宋体" w:hAnsi="宋体" w:eastAsia="宋体" w:cs="宋体"/>
                <w:sz w:val="24"/>
                <w:szCs w:val="24"/>
              </w:rPr>
              <w:t>2026年2月1日至2027年1月31日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975" w:type="dxa"/>
            <w:vAlign w:val="top"/>
          </w:tcPr>
          <w:p>
            <w:pPr>
              <w:spacing w:before="105" w:line="188" w:lineRule="auto"/>
              <w:ind w:left="112"/>
              <w:jc w:val="center"/>
              <w:rPr>
                <w:rFonts w:hint="eastAsia" w:ascii="宋体" w:hAnsi="宋体" w:eastAsia="宋体" w:cs="宋体"/>
                <w:sz w:val="24"/>
                <w:szCs w:val="24"/>
              </w:rPr>
            </w:pPr>
            <w:r>
              <w:rPr>
                <w:rFonts w:hint="eastAsia" w:ascii="宋体" w:hAnsi="宋体" w:eastAsia="宋体" w:cs="宋体"/>
                <w:sz w:val="24"/>
                <w:szCs w:val="24"/>
              </w:rPr>
              <w:t>2</w:t>
            </w:r>
          </w:p>
        </w:tc>
        <w:tc>
          <w:tcPr>
            <w:tcW w:w="1818" w:type="dxa"/>
            <w:vAlign w:val="center"/>
          </w:tcPr>
          <w:p>
            <w:pPr>
              <w:pStyle w:val="83"/>
              <w:spacing w:before="87" w:line="240" w:lineRule="auto"/>
              <w:ind w:left="108" w:right="96" w:firstLine="1"/>
              <w:jc w:val="center"/>
              <w:rPr>
                <w:rFonts w:hint="eastAsia" w:ascii="宋体" w:hAnsi="宋体" w:eastAsia="宋体" w:cs="宋体"/>
                <w:spacing w:val="1"/>
                <w:sz w:val="24"/>
                <w:szCs w:val="24"/>
              </w:rPr>
            </w:pPr>
            <w:r>
              <w:rPr>
                <w:rFonts w:hint="eastAsia" w:cs="宋体"/>
                <w:spacing w:val="1"/>
                <w:sz w:val="24"/>
                <w:szCs w:val="24"/>
                <w:lang w:val="en-US" w:eastAsia="zh-CN"/>
              </w:rPr>
              <w:t>服务</w:t>
            </w:r>
            <w:r>
              <w:rPr>
                <w:rFonts w:hint="eastAsia" w:ascii="宋体" w:hAnsi="宋体" w:eastAsia="宋体" w:cs="宋体"/>
                <w:spacing w:val="1"/>
                <w:sz w:val="24"/>
                <w:szCs w:val="24"/>
              </w:rPr>
              <w:t>地点</w:t>
            </w:r>
          </w:p>
        </w:tc>
        <w:tc>
          <w:tcPr>
            <w:tcW w:w="5936" w:type="dxa"/>
            <w:vAlign w:val="top"/>
          </w:tcPr>
          <w:p>
            <w:pPr>
              <w:pStyle w:val="83"/>
              <w:spacing w:before="87" w:line="240" w:lineRule="auto"/>
              <w:ind w:left="108" w:right="96" w:firstLine="1"/>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国家税务总局乌拉特前旗税务局</w:t>
            </w:r>
            <w:r>
              <w:rPr>
                <w:rFonts w:hint="eastAsia" w:ascii="宋体" w:hAnsi="宋体" w:eastAsia="宋体" w:cs="宋体"/>
                <w:spacing w:val="1"/>
                <w:sz w:val="24"/>
                <w:szCs w:val="24"/>
                <w:lang w:val="en-US" w:eastAsia="zh-CN"/>
              </w:rPr>
              <w:t>及乡镇税务分局（所）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0" w:hRule="atLeast"/>
        </w:trPr>
        <w:tc>
          <w:tcPr>
            <w:tcW w:w="975" w:type="dxa"/>
            <w:vAlign w:val="center"/>
          </w:tcPr>
          <w:p>
            <w:pPr>
              <w:spacing w:before="73" w:line="185" w:lineRule="auto"/>
              <w:ind w:left="112"/>
              <w:jc w:val="center"/>
              <w:rPr>
                <w:rFonts w:hint="eastAsia" w:ascii="宋体" w:hAnsi="宋体" w:eastAsia="宋体" w:cs="宋体"/>
                <w:sz w:val="24"/>
                <w:szCs w:val="24"/>
              </w:rPr>
            </w:pPr>
            <w:r>
              <w:rPr>
                <w:rFonts w:hint="eastAsia" w:ascii="宋体" w:hAnsi="宋体" w:eastAsia="宋体" w:cs="宋体"/>
                <w:sz w:val="24"/>
                <w:szCs w:val="24"/>
              </w:rPr>
              <w:t>5</w:t>
            </w:r>
          </w:p>
        </w:tc>
        <w:tc>
          <w:tcPr>
            <w:tcW w:w="1818" w:type="dxa"/>
            <w:vAlign w:val="center"/>
          </w:tcPr>
          <w:p>
            <w:pPr>
              <w:pStyle w:val="83"/>
              <w:spacing w:before="62" w:line="240" w:lineRule="auto"/>
              <w:ind w:left="101"/>
              <w:jc w:val="center"/>
              <w:rPr>
                <w:rFonts w:hint="eastAsia" w:ascii="宋体" w:hAnsi="宋体" w:eastAsia="宋体" w:cs="宋体"/>
                <w:sz w:val="24"/>
                <w:szCs w:val="24"/>
              </w:rPr>
            </w:pPr>
            <w:r>
              <w:rPr>
                <w:rFonts w:hint="eastAsia" w:ascii="宋体" w:hAnsi="宋体" w:eastAsia="宋体" w:cs="宋体"/>
                <w:spacing w:val="-1"/>
                <w:sz w:val="24"/>
                <w:szCs w:val="24"/>
              </w:rPr>
              <w:t>验收要求</w:t>
            </w:r>
          </w:p>
        </w:tc>
        <w:tc>
          <w:tcPr>
            <w:tcW w:w="5936" w:type="dxa"/>
            <w:vAlign w:val="top"/>
          </w:tcPr>
          <w:p>
            <w:pPr>
              <w:pStyle w:val="83"/>
              <w:spacing w:before="87" w:line="240" w:lineRule="auto"/>
              <w:ind w:left="108" w:right="96" w:firstLine="1"/>
              <w:rPr>
                <w:rFonts w:hint="eastAsia" w:ascii="宋体" w:hAnsi="宋体" w:eastAsia="宋体" w:cs="宋体"/>
                <w:sz w:val="24"/>
                <w:szCs w:val="24"/>
              </w:rPr>
            </w:pPr>
            <w:r>
              <w:rPr>
                <w:rFonts w:hint="eastAsia" w:ascii="宋体" w:hAnsi="宋体" w:eastAsia="宋体" w:cs="宋体"/>
                <w:spacing w:val="2"/>
                <w:sz w:val="24"/>
                <w:szCs w:val="24"/>
              </w:rPr>
              <w:t>（1）服务的技术指标应与《</w:t>
            </w:r>
            <w:r>
              <w:rPr>
                <w:rFonts w:hint="eastAsia" w:ascii="宋体" w:hAnsi="宋体" w:eastAsia="宋体" w:cs="宋体"/>
                <w:spacing w:val="2"/>
                <w:sz w:val="24"/>
                <w:szCs w:val="24"/>
                <w:lang w:val="en-US" w:eastAsia="zh-CN"/>
              </w:rPr>
              <w:t>综合磋商</w:t>
            </w:r>
            <w:r>
              <w:rPr>
                <w:rFonts w:hint="eastAsia" w:ascii="宋体" w:hAnsi="宋体" w:eastAsia="宋体" w:cs="宋体"/>
                <w:spacing w:val="2"/>
                <w:sz w:val="24"/>
                <w:szCs w:val="24"/>
              </w:rPr>
              <w:t>文件》《</w:t>
            </w:r>
            <w:r>
              <w:rPr>
                <w:rFonts w:hint="eastAsia" w:ascii="宋体" w:hAnsi="宋体" w:eastAsia="宋体" w:cs="宋体"/>
                <w:spacing w:val="2"/>
                <w:sz w:val="24"/>
                <w:szCs w:val="24"/>
                <w:lang w:val="en-US" w:eastAsia="zh-CN"/>
              </w:rPr>
              <w:t>响应</w:t>
            </w:r>
            <w:r>
              <w:rPr>
                <w:rFonts w:hint="eastAsia" w:ascii="宋体" w:hAnsi="宋体" w:eastAsia="宋体" w:cs="宋体"/>
                <w:spacing w:val="1"/>
                <w:sz w:val="24"/>
                <w:szCs w:val="24"/>
              </w:rPr>
              <w:t>文件》的要求或承诺相一致或更</w:t>
            </w:r>
            <w:r>
              <w:rPr>
                <w:rFonts w:hint="eastAsia" w:ascii="宋体" w:hAnsi="宋体" w:eastAsia="宋体" w:cs="宋体"/>
                <w:spacing w:val="-7"/>
                <w:sz w:val="24"/>
                <w:szCs w:val="24"/>
              </w:rPr>
              <w:t>高。</w:t>
            </w:r>
          </w:p>
          <w:p>
            <w:pPr>
              <w:pStyle w:val="83"/>
              <w:spacing w:before="156" w:line="240" w:lineRule="auto"/>
              <w:ind w:left="109"/>
              <w:rPr>
                <w:rFonts w:hint="eastAsia" w:ascii="宋体" w:hAnsi="宋体" w:eastAsia="宋体" w:cs="宋体"/>
                <w:sz w:val="24"/>
                <w:szCs w:val="24"/>
              </w:rPr>
            </w:pPr>
            <w:r>
              <w:rPr>
                <w:rFonts w:hint="eastAsia" w:ascii="宋体" w:hAnsi="宋体" w:eastAsia="宋体" w:cs="宋体"/>
                <w:sz w:val="24"/>
                <w:szCs w:val="24"/>
              </w:rPr>
              <w:t>（2）采购单位负责验收。</w:t>
            </w:r>
          </w:p>
          <w:p>
            <w:pPr>
              <w:pStyle w:val="83"/>
              <w:spacing w:before="129" w:line="240" w:lineRule="auto"/>
              <w:ind w:left="103" w:right="181" w:firstLine="6"/>
              <w:rPr>
                <w:rFonts w:hint="eastAsia" w:ascii="宋体" w:hAnsi="宋体" w:eastAsia="宋体" w:cs="宋体"/>
                <w:sz w:val="24"/>
                <w:szCs w:val="24"/>
              </w:rPr>
            </w:pPr>
            <w:r>
              <w:rPr>
                <w:rFonts w:hint="eastAsia" w:ascii="宋体" w:hAnsi="宋体" w:eastAsia="宋体" w:cs="宋体"/>
                <w:spacing w:val="4"/>
                <w:sz w:val="24"/>
                <w:szCs w:val="24"/>
              </w:rPr>
              <w:t>（3）验收标准见《</w:t>
            </w:r>
            <w:r>
              <w:rPr>
                <w:rFonts w:hint="eastAsia" w:ascii="宋体" w:hAnsi="宋体" w:eastAsia="宋体" w:cs="宋体"/>
                <w:spacing w:val="4"/>
                <w:sz w:val="24"/>
                <w:szCs w:val="24"/>
                <w:lang w:val="en-US" w:eastAsia="zh-CN"/>
              </w:rPr>
              <w:t>综合磋商</w:t>
            </w:r>
            <w:r>
              <w:rPr>
                <w:rFonts w:hint="eastAsia" w:ascii="宋体" w:hAnsi="宋体" w:eastAsia="宋体" w:cs="宋体"/>
                <w:spacing w:val="4"/>
                <w:sz w:val="24"/>
                <w:szCs w:val="24"/>
              </w:rPr>
              <w:t>文件》中的“物业服务内容、工作要求、</w:t>
            </w:r>
            <w:r>
              <w:rPr>
                <w:rFonts w:hint="eastAsia" w:ascii="宋体" w:hAnsi="宋体" w:eastAsia="宋体" w:cs="宋体"/>
                <w:spacing w:val="3"/>
                <w:sz w:val="24"/>
                <w:szCs w:val="24"/>
              </w:rPr>
              <w:t>质量要求”和“</w:t>
            </w:r>
            <w:r>
              <w:rPr>
                <w:rFonts w:hint="eastAsia" w:ascii="宋体" w:hAnsi="宋体" w:eastAsia="宋体" w:cs="宋体"/>
                <w:spacing w:val="2"/>
                <w:sz w:val="24"/>
                <w:szCs w:val="24"/>
              </w:rPr>
              <w:t>物业管理服务需达到的标准”定期对物业服务进行检查考核。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975" w:type="dxa"/>
            <w:vAlign w:val="center"/>
          </w:tcPr>
          <w:p>
            <w:pPr>
              <w:spacing w:before="73" w:line="187" w:lineRule="auto"/>
              <w:ind w:left="111"/>
              <w:jc w:val="center"/>
              <w:rPr>
                <w:rFonts w:hint="eastAsia" w:ascii="宋体" w:hAnsi="宋体" w:eastAsia="宋体" w:cs="宋体"/>
                <w:sz w:val="24"/>
                <w:szCs w:val="24"/>
              </w:rPr>
            </w:pPr>
            <w:r>
              <w:rPr>
                <w:rFonts w:hint="eastAsia" w:ascii="宋体" w:hAnsi="宋体" w:eastAsia="宋体" w:cs="宋体"/>
                <w:sz w:val="24"/>
                <w:szCs w:val="24"/>
              </w:rPr>
              <w:t>6</w:t>
            </w:r>
          </w:p>
        </w:tc>
        <w:tc>
          <w:tcPr>
            <w:tcW w:w="1818" w:type="dxa"/>
            <w:vAlign w:val="center"/>
          </w:tcPr>
          <w:p>
            <w:pPr>
              <w:pStyle w:val="83"/>
              <w:spacing w:before="61" w:line="221" w:lineRule="auto"/>
              <w:ind w:left="102"/>
              <w:jc w:val="center"/>
              <w:rPr>
                <w:rFonts w:hint="eastAsia" w:ascii="宋体" w:hAnsi="宋体" w:eastAsia="宋体" w:cs="宋体"/>
                <w:sz w:val="24"/>
                <w:szCs w:val="24"/>
              </w:rPr>
            </w:pPr>
            <w:r>
              <w:rPr>
                <w:rFonts w:hint="eastAsia" w:ascii="宋体" w:hAnsi="宋体" w:eastAsia="宋体" w:cs="宋体"/>
                <w:sz w:val="24"/>
                <w:szCs w:val="24"/>
              </w:rPr>
              <w:t>合同支付方式</w:t>
            </w:r>
          </w:p>
        </w:tc>
        <w:tc>
          <w:tcPr>
            <w:tcW w:w="5936" w:type="dxa"/>
            <w:vAlign w:val="top"/>
          </w:tcPr>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1、合同签订后，采购人于每月结束前对供应商进行考核，合格后，结算上月物业管理费用，达到付款条件起30日，支付合同总金额的8.30%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2、合同签订后，采购人于每月结束前对供应商进行考核，合格后，结算上月物业管理费用，达到付款条件起30日，支付合同总金额的8.30%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3、合同签订后，采购人于每月结束前对供应商进行考核，合格后，结算上月物业管理费用，达到付款条件起30日，支付合同总金额的8.30%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4、合同签订后，采购人于每月结束前对供应商进行考核，合格后，结算上月物业管理费用，达到付款条件起30日，支付合同总金额的8.30%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5、合同签订后，采购人于每月结束前对供应商进行考核，合格后，结算上月物业管理费用，达到付款条件起30日，支付合同总金额的8.30%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6、合同签订后，采购人于每月结束前对供应商进行考核，合格后，结算上月物业管理费用，达到付款条件起30日，支付合同总金额的8.30%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7、合同签订后，采购人于每月结束前对供应商进行考核，合格后，结算上月物业管理费用，达到付款条件起30日，支付合同总金额的8.30%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8、合同签订后，采购人于每月结束前对供应商进行考核，合格后，结算上月物业管理费用，达到付款条件起30日，支付合同总金额的8.30%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9、合同签订后，采购人于每月结束前对供应商进行考核，合格后，结算上月物业管理费用，达到付款条件起30日，支付合同总金额的8.30%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10、合同签订后，采购人于每月结束前对供应商进行考核，合格后，结算上月物业管理费用，达到付款条件起30日，支付合同总金额的8.30%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11、合同签订后，采购人于每月结束前对供应商进行考核，合格后，结算上月物业管理费用，达到付款条件起30日，支付合同总金额的8.30%</w:t>
            </w:r>
          </w:p>
          <w:p>
            <w:pPr>
              <w:pStyle w:val="83"/>
              <w:spacing w:before="128" w:line="263" w:lineRule="auto"/>
              <w:ind w:left="102" w:right="138" w:firstLine="7"/>
              <w:rPr>
                <w:rFonts w:hint="eastAsia" w:ascii="宋体" w:hAnsi="宋体" w:eastAsia="宋体" w:cs="宋体"/>
                <w:sz w:val="24"/>
                <w:szCs w:val="24"/>
              </w:rPr>
            </w:pPr>
            <w:r>
              <w:rPr>
                <w:rFonts w:hint="eastAsia" w:ascii="宋体" w:hAnsi="宋体" w:eastAsia="宋体" w:cs="宋体"/>
                <w:sz w:val="24"/>
                <w:szCs w:val="24"/>
              </w:rPr>
              <w:t>12、合同签订后，采购人于每月结束前对供应商进行考核，合格后，结算上月物业管理费用，达到付款条件起30日，支付合同总金额的8.70%</w:t>
            </w:r>
          </w:p>
        </w:tc>
      </w:tr>
    </w:tbl>
    <w:p>
      <w:pPr>
        <w:spacing w:line="24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2.技术标准与要求</w:t>
      </w:r>
    </w:p>
    <w:bookmarkEnd w:id="22"/>
    <w:bookmarkEnd w:id="23"/>
    <w:tbl>
      <w:tblPr>
        <w:tblStyle w:val="76"/>
        <w:tblW w:w="91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7"/>
        <w:gridCol w:w="7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317" w:type="dxa"/>
            <w:vAlign w:val="top"/>
          </w:tcPr>
          <w:p>
            <w:pPr>
              <w:pStyle w:val="83"/>
              <w:spacing w:before="88" w:line="360" w:lineRule="auto"/>
              <w:ind w:left="98" w:leftChars="0"/>
              <w:jc w:val="center"/>
              <w:rPr>
                <w:rFonts w:hint="eastAsia" w:asciiTheme="minorEastAsia" w:hAnsiTheme="minorEastAsia" w:eastAsiaTheme="minorEastAsia" w:cstheme="minorEastAsia"/>
                <w:spacing w:val="-3"/>
                <w:sz w:val="24"/>
                <w:szCs w:val="24"/>
              </w:rPr>
            </w:pPr>
            <w:bookmarkStart w:id="30" w:name="_Toc866"/>
            <w:bookmarkStart w:id="31" w:name="_Toc3910"/>
            <w:bookmarkStart w:id="32" w:name="_Toc6090"/>
            <w:r>
              <w:rPr>
                <w:rFonts w:hint="eastAsia" w:asciiTheme="minorEastAsia" w:hAnsiTheme="minorEastAsia" w:eastAsiaTheme="minorEastAsia" w:cstheme="minorEastAsia"/>
                <w:spacing w:val="-3"/>
                <w:sz w:val="24"/>
                <w:szCs w:val="24"/>
              </w:rPr>
              <w:t>序号</w:t>
            </w:r>
          </w:p>
        </w:tc>
        <w:tc>
          <w:tcPr>
            <w:tcW w:w="7805" w:type="dxa"/>
            <w:vAlign w:val="top"/>
          </w:tcPr>
          <w:p>
            <w:pPr>
              <w:pStyle w:val="83"/>
              <w:spacing w:before="89" w:line="360" w:lineRule="auto"/>
              <w:ind w:left="97" w:leftChars="0"/>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z w:val="24"/>
                <w:szCs w:val="24"/>
              </w:rPr>
              <w:t>技术参数与性能指标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jc w:val="center"/>
        </w:trPr>
        <w:tc>
          <w:tcPr>
            <w:tcW w:w="1317" w:type="dxa"/>
            <w:vAlign w:val="center"/>
          </w:tcPr>
          <w:p>
            <w:pPr>
              <w:spacing w:before="82" w:line="360" w:lineRule="auto"/>
              <w:ind w:left="119"/>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805" w:type="dxa"/>
            <w:vAlign w:val="center"/>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物业服务实施目标</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1.开展物业管理争创示范单位工作。</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2.好垃圾分类工作。</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3.服务合同履约率100%。</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4.重大安全责任事故为零。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8" w:hRule="atLeast"/>
          <w:jc w:val="center"/>
        </w:trPr>
        <w:tc>
          <w:tcPr>
            <w:tcW w:w="1317" w:type="dxa"/>
            <w:vAlign w:val="center"/>
          </w:tcPr>
          <w:p>
            <w:pPr>
              <w:spacing w:before="82" w:line="360" w:lineRule="auto"/>
              <w:ind w:left="112"/>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7805" w:type="dxa"/>
            <w:vAlign w:val="center"/>
          </w:tcPr>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napToGrid/>
                <w:sz w:val="24"/>
                <w:szCs w:val="24"/>
                <w:lang w:val="en-US" w:eastAsia="zh-CN"/>
              </w:rPr>
            </w:pPr>
            <w:r>
              <w:rPr>
                <w:rFonts w:hint="eastAsia" w:asciiTheme="minorEastAsia" w:hAnsiTheme="minorEastAsia" w:eastAsiaTheme="minorEastAsia" w:cstheme="minorEastAsia"/>
                <w:snapToGrid/>
                <w:sz w:val="24"/>
                <w:szCs w:val="24"/>
                <w:lang w:val="en-US" w:eastAsia="zh-CN"/>
              </w:rPr>
              <w:t>一、服务地点、范围</w:t>
            </w:r>
          </w:p>
          <w:p>
            <w:pPr>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eastAsia="zh-CN"/>
              </w:rPr>
              <w:t>局机关大楼概况</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面积：房屋建筑面积7079.33平米(院落不计入此面积)，共6层。</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设施：3处会议室，1处阅览室、1处活动室、1处餐厅、每层设卫生间、及若干办公室。</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附属区域：院落</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服务内容：</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①</w:t>
            </w:r>
            <w:r>
              <w:rPr>
                <w:rFonts w:hint="eastAsia" w:asciiTheme="minorEastAsia" w:hAnsiTheme="minorEastAsia" w:eastAsiaTheme="minorEastAsia" w:cstheme="minorEastAsia"/>
                <w:sz w:val="24"/>
                <w:szCs w:val="24"/>
                <w:lang w:eastAsia="zh-CN"/>
              </w:rPr>
              <w:t>门卫安保、视频监控、来客登记引导、防火、防盗、公共秩序管理（车辆 、 自行车、人员的管理）等。</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②</w:t>
            </w:r>
            <w:r>
              <w:rPr>
                <w:rFonts w:hint="eastAsia" w:asciiTheme="minorEastAsia" w:hAnsiTheme="minorEastAsia" w:eastAsiaTheme="minorEastAsia" w:cstheme="minorEastAsia"/>
                <w:sz w:val="24"/>
                <w:szCs w:val="24"/>
                <w:lang w:eastAsia="zh-CN"/>
              </w:rPr>
              <w:t>办公楼的公共楼道、卫生间、院落、办公室、会议室、活动室、更衣室及公共区域日常保洁等；大楼内的会务服务，包括会场布置、茶水服务、会后会场清理；负责办公楼内会议室、接待室的清洁工作。</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③</w:t>
            </w:r>
            <w:r>
              <w:rPr>
                <w:rFonts w:hint="eastAsia" w:asciiTheme="minorEastAsia" w:hAnsiTheme="minorEastAsia" w:eastAsiaTheme="minorEastAsia" w:cstheme="minorEastAsia"/>
                <w:sz w:val="24"/>
                <w:szCs w:val="24"/>
                <w:lang w:eastAsia="zh-CN"/>
              </w:rPr>
              <w:t>负责餐厅一日三餐的制作（早餐约150人、午晚约60人），合理安排膳食；负责原材料的清洗等；清洗餐厅餐具、厨具、维护餐厅区域的清洁卫生，做好餐厅餐具的收纳整理等。</w:t>
            </w:r>
          </w:p>
          <w:p>
            <w:pPr>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eastAsia="zh-CN"/>
              </w:rPr>
              <w:t>乌拉山税务分局概况</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面积：共宗地面积12971.7平米、房屋建筑面积5900.5平米，共5层。</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设施： 2处会议室、1处活动室、1处展厅、若干卫生间、若干办公室及宿舍。</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附属区域：院落</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服务内容：</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①</w:t>
            </w:r>
            <w:r>
              <w:rPr>
                <w:rFonts w:hint="eastAsia" w:asciiTheme="minorEastAsia" w:hAnsiTheme="minorEastAsia" w:eastAsiaTheme="minorEastAsia" w:cstheme="minorEastAsia"/>
                <w:sz w:val="24"/>
                <w:szCs w:val="24"/>
                <w:lang w:eastAsia="zh-CN"/>
              </w:rPr>
              <w:t>门卫安保、视频监控、来客登记引导、防火、防盗、公共秩序管理（车辆、自行车、人员的管理）等。</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②</w:t>
            </w:r>
            <w:r>
              <w:rPr>
                <w:rFonts w:hint="eastAsia" w:asciiTheme="minorEastAsia" w:hAnsiTheme="minorEastAsia" w:eastAsiaTheme="minorEastAsia" w:cstheme="minorEastAsia"/>
                <w:sz w:val="24"/>
                <w:szCs w:val="24"/>
                <w:lang w:eastAsia="zh-CN"/>
              </w:rPr>
              <w:t>办公楼的公共楼道、卫生间、院落、办公室、会议室、活动室、更衣室及公共区域日常保洁等；大楼内的会务服务，包括会场布置、茶水服务、会后会场清理；负责办公楼内会议室、接待室的清洁工作。</w:t>
            </w:r>
          </w:p>
          <w:p>
            <w:pPr>
              <w:pStyle w:val="86"/>
              <w:numPr>
                <w:ilvl w:val="0"/>
                <w:numId w:val="0"/>
              </w:numPr>
              <w:spacing w:line="360" w:lineRule="auto"/>
              <w:ind w:leftChars="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lang w:eastAsia="zh-CN"/>
              </w:rPr>
              <w:t>乡镇税务分局（所）概况</w:t>
            </w:r>
          </w:p>
          <w:p>
            <w:pPr>
              <w:pStyle w:val="86"/>
              <w:numPr>
                <w:ilvl w:val="0"/>
                <w:numId w:val="0"/>
              </w:numPr>
              <w:spacing w:line="36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①</w:t>
            </w:r>
            <w:r>
              <w:rPr>
                <w:rFonts w:hint="eastAsia" w:asciiTheme="minorEastAsia" w:hAnsiTheme="minorEastAsia" w:eastAsiaTheme="minorEastAsia" w:cstheme="minorEastAsia"/>
                <w:sz w:val="24"/>
                <w:szCs w:val="24"/>
                <w:lang w:eastAsia="zh-CN"/>
              </w:rPr>
              <w:t>新安税务所距乌拉特前旗约30公里，每餐用餐人数不超过10人，土地使用权面积660.57平米，房屋建筑面积474.56平米，共2层，有院落。</w:t>
            </w:r>
          </w:p>
          <w:p>
            <w:pPr>
              <w:pStyle w:val="86"/>
              <w:numPr>
                <w:ilvl w:val="0"/>
                <w:numId w:val="0"/>
              </w:numPr>
              <w:spacing w:line="36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②</w:t>
            </w:r>
            <w:r>
              <w:rPr>
                <w:rFonts w:hint="eastAsia" w:asciiTheme="minorEastAsia" w:hAnsiTheme="minorEastAsia" w:eastAsiaTheme="minorEastAsia" w:cstheme="minorEastAsia"/>
                <w:sz w:val="24"/>
                <w:szCs w:val="24"/>
                <w:lang w:eastAsia="zh-CN"/>
              </w:rPr>
              <w:t>额尔登布拉格苏木税务所距乌拉特前旗约25公里，每餐用餐人数不超过10人，共有宗地面积2250平米，房屋建筑面积947.46平米，共2层，有院落。</w:t>
            </w:r>
          </w:p>
          <w:p>
            <w:pPr>
              <w:pStyle w:val="86"/>
              <w:numPr>
                <w:ilvl w:val="0"/>
                <w:numId w:val="0"/>
              </w:numPr>
              <w:spacing w:line="36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③</w:t>
            </w:r>
            <w:r>
              <w:rPr>
                <w:rFonts w:hint="eastAsia" w:asciiTheme="minorEastAsia" w:hAnsiTheme="minorEastAsia" w:eastAsiaTheme="minorEastAsia" w:cstheme="minorEastAsia"/>
                <w:sz w:val="24"/>
                <w:szCs w:val="24"/>
                <w:lang w:eastAsia="zh-CN"/>
              </w:rPr>
              <w:t>大佘太税务所距乌拉特前旗约65公里，每餐用餐人数不超过10人，土地使用权面积867.23平米，房屋建筑面积572.59平米，共2层，有院落。</w:t>
            </w:r>
          </w:p>
          <w:p>
            <w:pPr>
              <w:pStyle w:val="86"/>
              <w:numPr>
                <w:ilvl w:val="0"/>
                <w:numId w:val="0"/>
              </w:numPr>
              <w:spacing w:line="36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④</w:t>
            </w:r>
            <w:r>
              <w:rPr>
                <w:rFonts w:hint="eastAsia" w:asciiTheme="minorEastAsia" w:hAnsiTheme="minorEastAsia" w:eastAsiaTheme="minorEastAsia" w:cstheme="minorEastAsia"/>
                <w:sz w:val="24"/>
                <w:szCs w:val="24"/>
                <w:lang w:eastAsia="zh-CN"/>
              </w:rPr>
              <w:t>明安税务所距乌拉特前旗约120公里，每餐用餐人数不超过10人，土地使用权面积1900.8平米，房屋建筑面积787.49平米，共2层，有院落。</w:t>
            </w:r>
          </w:p>
          <w:p>
            <w:pPr>
              <w:pStyle w:val="86"/>
              <w:numPr>
                <w:ilvl w:val="0"/>
                <w:numId w:val="0"/>
              </w:numPr>
              <w:spacing w:line="36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⑤</w:t>
            </w:r>
            <w:r>
              <w:rPr>
                <w:rFonts w:hint="eastAsia" w:asciiTheme="minorEastAsia" w:hAnsiTheme="minorEastAsia" w:eastAsiaTheme="minorEastAsia" w:cstheme="minorEastAsia"/>
                <w:sz w:val="24"/>
                <w:szCs w:val="24"/>
                <w:lang w:eastAsia="zh-CN"/>
              </w:rPr>
              <w:t>工业园区税务分局距乌拉特前旗约70公里，每餐用餐人数不超过15人，共有宗地面积1248.5平米，房屋建筑面积904.44平米，共2层，有院落。</w:t>
            </w:r>
          </w:p>
          <w:p>
            <w:pPr>
              <w:pStyle w:val="86"/>
              <w:numPr>
                <w:ilvl w:val="0"/>
                <w:numId w:val="0"/>
              </w:numPr>
              <w:spacing w:line="36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服务内容：</w:t>
            </w:r>
          </w:p>
          <w:p>
            <w:pPr>
              <w:pStyle w:val="86"/>
              <w:numPr>
                <w:ilvl w:val="0"/>
                <w:numId w:val="0"/>
              </w:numPr>
              <w:spacing w:line="36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①</w:t>
            </w:r>
            <w:r>
              <w:rPr>
                <w:rFonts w:hint="eastAsia" w:asciiTheme="minorEastAsia" w:hAnsiTheme="minorEastAsia" w:eastAsiaTheme="minorEastAsia" w:cstheme="minorEastAsia"/>
                <w:sz w:val="24"/>
                <w:szCs w:val="24"/>
                <w:lang w:eastAsia="zh-CN"/>
              </w:rPr>
              <w:t>负责各税务分局及税务所餐厅一日三餐的制作，合理安排膳食；负责原材料的清洗等；清洗餐厅餐具、厨具、维护餐厅区域的清洁卫生，做好餐厅餐具的收纳整理等。</w:t>
            </w:r>
          </w:p>
          <w:p>
            <w:pPr>
              <w:pStyle w:val="86"/>
              <w:numPr>
                <w:ilvl w:val="0"/>
                <w:numId w:val="0"/>
              </w:numPr>
              <w:spacing w:line="36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②</w:t>
            </w:r>
            <w:r>
              <w:rPr>
                <w:rFonts w:hint="eastAsia" w:asciiTheme="minorEastAsia" w:hAnsiTheme="minorEastAsia" w:eastAsiaTheme="minorEastAsia" w:cstheme="minorEastAsia"/>
                <w:sz w:val="24"/>
                <w:szCs w:val="24"/>
                <w:lang w:eastAsia="zh-CN"/>
              </w:rPr>
              <w:t>门卫安保、视频监控、来客登记引导、防火、防盗、公共秩序管理（车辆 、自行车、人员的管理）等；</w:t>
            </w:r>
          </w:p>
          <w:p>
            <w:pPr>
              <w:pStyle w:val="86"/>
              <w:numPr>
                <w:ilvl w:val="0"/>
                <w:numId w:val="0"/>
              </w:numPr>
              <w:spacing w:line="36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sz w:val="24"/>
                <w:szCs w:val="24"/>
                <w:lang w:val="en-US" w:eastAsia="zh-CN"/>
              </w:rPr>
              <w:t>③</w:t>
            </w:r>
            <w:r>
              <w:rPr>
                <w:rFonts w:hint="eastAsia" w:asciiTheme="minorEastAsia" w:hAnsiTheme="minorEastAsia" w:eastAsiaTheme="minorEastAsia" w:cstheme="minorEastAsia"/>
                <w:sz w:val="24"/>
                <w:szCs w:val="24"/>
                <w:lang w:eastAsia="zh-CN"/>
              </w:rPr>
              <w:t>办公楼的公共楼道、卫生间、院落、办公室、会议室、活动室、更衣室及公共区域日常保洁等；大楼内的会务服务，包括会场布置、茶水服务、会后会场清理；负责办公楼内会议室、接待室的清洁工作。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b/>
                <w:bCs/>
                <w:snapToGrid/>
                <w:sz w:val="24"/>
                <w:szCs w:val="24"/>
                <w:lang w:val="en-US" w:eastAsia="zh-CN"/>
              </w:rPr>
            </w:pPr>
            <w:r>
              <w:rPr>
                <w:rFonts w:hint="eastAsia" w:asciiTheme="minorEastAsia" w:hAnsiTheme="minorEastAsia" w:eastAsiaTheme="minorEastAsia" w:cstheme="minorEastAsia"/>
                <w:b/>
                <w:bCs/>
                <w:snapToGrid/>
                <w:sz w:val="24"/>
                <w:szCs w:val="24"/>
                <w:lang w:val="en-US" w:eastAsia="zh-CN"/>
              </w:rPr>
              <w:t>4、总体要求</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napToGrid/>
                <w:sz w:val="24"/>
                <w:szCs w:val="24"/>
                <w:lang w:val="en-US" w:eastAsia="zh-CN"/>
              </w:rPr>
            </w:pPr>
            <w:r>
              <w:rPr>
                <w:rFonts w:hint="eastAsia" w:asciiTheme="minorEastAsia" w:hAnsiTheme="minorEastAsia" w:eastAsiaTheme="minorEastAsia" w:cstheme="minorEastAsia"/>
                <w:snapToGrid/>
                <w:sz w:val="24"/>
                <w:szCs w:val="24"/>
                <w:lang w:val="en-US" w:eastAsia="zh-CN"/>
              </w:rPr>
              <w:t>①中标方应严格遵守中华人民共和国国务院下发的《物业管理条例》，以及有关劳动法律法规等规定。</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napToGrid/>
                <w:sz w:val="24"/>
                <w:szCs w:val="24"/>
                <w:lang w:val="en-US" w:eastAsia="zh-CN"/>
              </w:rPr>
            </w:pPr>
            <w:r>
              <w:rPr>
                <w:rFonts w:hint="eastAsia" w:asciiTheme="minorEastAsia" w:hAnsiTheme="minorEastAsia" w:eastAsiaTheme="minorEastAsia" w:cstheme="minorEastAsia"/>
                <w:snapToGrid/>
                <w:sz w:val="24"/>
                <w:szCs w:val="24"/>
                <w:lang w:val="en-US" w:eastAsia="zh-CN"/>
              </w:rPr>
              <w:t>②中标方要建立完善的管理制度，具有明确的岗位职责、工作标准、考核措施及奖惩办法，以及详细的物业管理工作档案。</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napToGrid/>
                <w:sz w:val="24"/>
                <w:szCs w:val="24"/>
                <w:lang w:val="en-US" w:eastAsia="zh-CN"/>
              </w:rPr>
            </w:pPr>
            <w:r>
              <w:rPr>
                <w:rFonts w:hint="eastAsia" w:asciiTheme="minorEastAsia" w:hAnsiTheme="minorEastAsia" w:eastAsiaTheme="minorEastAsia" w:cstheme="minorEastAsia"/>
                <w:snapToGrid/>
                <w:sz w:val="24"/>
                <w:szCs w:val="24"/>
                <w:lang w:val="en-US" w:eastAsia="zh-CN"/>
              </w:rPr>
              <w:t>③中标方必须服从采购方的管理，遵守采购方的各项规章制度，严格按照采购方的要求提供物业管理服务，无条件接受采购方对服务质量、服务内容、服务效果、人员配备、工资标准、在岗履职等日常工作的监督检查。无条件完成采购方安排部署的各项合理性工作任务。自觉接受相关地方管理部门的业务检查、监督和指导。</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napToGrid/>
                <w:sz w:val="24"/>
                <w:szCs w:val="24"/>
                <w:lang w:val="en-US" w:eastAsia="zh-CN"/>
              </w:rPr>
            </w:pPr>
            <w:r>
              <w:rPr>
                <w:rFonts w:hint="eastAsia" w:asciiTheme="minorEastAsia" w:hAnsiTheme="minorEastAsia" w:eastAsiaTheme="minorEastAsia" w:cstheme="minorEastAsia"/>
                <w:snapToGrid/>
                <w:sz w:val="24"/>
                <w:szCs w:val="24"/>
                <w:lang w:val="en-US" w:eastAsia="zh-CN"/>
              </w:rPr>
              <w:t>④采购方对岗位设置、人员选用与日常管理具有监督权和协调权。</w:t>
            </w:r>
          </w:p>
          <w:p>
            <w:pPr>
              <w:pStyle w:val="86"/>
              <w:numPr>
                <w:ilvl w:val="0"/>
                <w:numId w:val="0"/>
              </w:numPr>
              <w:spacing w:line="36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sz w:val="24"/>
                <w:szCs w:val="24"/>
                <w:lang w:val="en-US" w:eastAsia="zh-CN"/>
              </w:rPr>
              <w:t>⑤遇到突发事件，中标方应立即组织人员赶到事发现场，采取紧急应对措施，减少损失，并做好记录，且因立即向采购方有关负责人报告事情的原由。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jc w:val="center"/>
        </w:trPr>
        <w:tc>
          <w:tcPr>
            <w:tcW w:w="1317" w:type="dxa"/>
          </w:tcPr>
          <w:p>
            <w:pPr>
              <w:spacing w:before="82" w:line="360" w:lineRule="auto"/>
              <w:ind w:left="113"/>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7805" w:type="dxa"/>
            <w:vAlign w:val="center"/>
          </w:tcPr>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b/>
                <w:bCs/>
                <w:snapToGrid/>
                <w:sz w:val="24"/>
                <w:szCs w:val="24"/>
                <w:lang w:val="en-US" w:eastAsia="zh-CN"/>
              </w:rPr>
            </w:pPr>
            <w:r>
              <w:rPr>
                <w:rFonts w:hint="eastAsia" w:asciiTheme="minorEastAsia" w:hAnsiTheme="minorEastAsia" w:eastAsiaTheme="minorEastAsia" w:cstheme="minorEastAsia"/>
                <w:b/>
                <w:bCs/>
                <w:snapToGrid/>
                <w:sz w:val="24"/>
                <w:szCs w:val="24"/>
                <w:lang w:val="en-US" w:eastAsia="zh-CN"/>
              </w:rPr>
              <w:t>物业经理</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napToGrid/>
                <w:sz w:val="24"/>
                <w:szCs w:val="24"/>
                <w:lang w:val="en-US" w:eastAsia="zh-CN"/>
              </w:rPr>
            </w:pPr>
            <w:r>
              <w:rPr>
                <w:rFonts w:hint="eastAsia" w:asciiTheme="minorEastAsia" w:hAnsiTheme="minorEastAsia" w:eastAsiaTheme="minorEastAsia" w:cstheme="minorEastAsia"/>
                <w:snapToGrid/>
                <w:sz w:val="24"/>
                <w:szCs w:val="24"/>
                <w:lang w:val="en-US" w:eastAsia="zh-CN"/>
              </w:rPr>
              <w:t>1.负责物业服务的全面管理工作；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napToGrid/>
                <w:sz w:val="24"/>
                <w:szCs w:val="24"/>
                <w:lang w:val="en-US" w:eastAsia="zh-CN"/>
              </w:rPr>
            </w:pPr>
            <w:r>
              <w:rPr>
                <w:rFonts w:hint="eastAsia" w:asciiTheme="minorEastAsia" w:hAnsiTheme="minorEastAsia" w:eastAsiaTheme="minorEastAsia" w:cstheme="minorEastAsia"/>
                <w:snapToGrid/>
                <w:sz w:val="24"/>
                <w:szCs w:val="24"/>
                <w:lang w:val="en-US" w:eastAsia="zh-CN"/>
              </w:rPr>
              <w:t>2.根据有关物业管理的法规、政策、对物业项目内的公共秩序、保洁、绿化养护3.设备设施运行维护保养进行管理；</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napToGrid/>
                <w:sz w:val="24"/>
                <w:szCs w:val="24"/>
                <w:lang w:val="en-US" w:eastAsia="zh-CN"/>
              </w:rPr>
            </w:pPr>
            <w:r>
              <w:rPr>
                <w:rFonts w:hint="eastAsia" w:asciiTheme="minorEastAsia" w:hAnsiTheme="minorEastAsia" w:eastAsiaTheme="minorEastAsia" w:cstheme="minorEastAsia"/>
                <w:snapToGrid/>
                <w:sz w:val="24"/>
                <w:szCs w:val="24"/>
                <w:lang w:val="en-US" w:eastAsia="zh-CN"/>
              </w:rPr>
              <w:t>4.健全物业的各类规章制度和防范措施；</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napToGrid/>
                <w:sz w:val="24"/>
                <w:szCs w:val="24"/>
                <w:lang w:val="en-US" w:eastAsia="zh-CN"/>
              </w:rPr>
            </w:pPr>
            <w:r>
              <w:rPr>
                <w:rFonts w:hint="eastAsia" w:asciiTheme="minorEastAsia" w:hAnsiTheme="minorEastAsia" w:eastAsiaTheme="minorEastAsia" w:cstheme="minorEastAsia"/>
                <w:snapToGrid/>
                <w:sz w:val="24"/>
                <w:szCs w:val="24"/>
                <w:lang w:val="en-US" w:eastAsia="zh-CN"/>
              </w:rPr>
              <w:t>5.对物业服务发生的各类安全事故和隐患认真核实、区分责任、提出处理意见；</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napToGrid/>
                <w:sz w:val="24"/>
                <w:szCs w:val="24"/>
                <w:lang w:val="en-US" w:eastAsia="zh-CN"/>
              </w:rPr>
            </w:pPr>
            <w:r>
              <w:rPr>
                <w:rFonts w:hint="eastAsia" w:asciiTheme="minorEastAsia" w:hAnsiTheme="minorEastAsia" w:eastAsiaTheme="minorEastAsia" w:cstheme="minorEastAsia"/>
                <w:snapToGrid/>
                <w:sz w:val="24"/>
                <w:szCs w:val="24"/>
                <w:lang w:val="en-US" w:eastAsia="zh-CN"/>
              </w:rPr>
              <w:t>6.指导并检查物业服务的清洁卫生和环境绿化、美化工作；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sz w:val="24"/>
                <w:szCs w:val="24"/>
                <w:lang w:val="en-US" w:eastAsia="zh-CN"/>
              </w:rPr>
              <w:t>7.配合甲方的工作计划与日常工作安排。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1" w:hRule="atLeast"/>
          <w:jc w:val="center"/>
        </w:trPr>
        <w:tc>
          <w:tcPr>
            <w:tcW w:w="1317" w:type="dxa"/>
            <w:vAlign w:val="center"/>
          </w:tcPr>
          <w:p>
            <w:pPr>
              <w:spacing w:before="82" w:line="360" w:lineRule="auto"/>
              <w:ind w:left="110"/>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w:t>
            </w:r>
          </w:p>
        </w:tc>
        <w:tc>
          <w:tcPr>
            <w:tcW w:w="7805" w:type="dxa"/>
            <w:vAlign w:val="center"/>
          </w:tcPr>
          <w:p>
            <w:pPr>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保安管理服务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1.制定科学合理的保安与技能管理方案，协助相关部门保证楼宇安全和正常工作秩序，建立健全保安岗位责任制（需持证上岗）。</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2.做好日常值班和巡查工作记录；</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3.保安工作执行24小时值班制度。认真贯彻执行安全岗位责任制、做到制度上墙，确保秩序良好，安全无事故。</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4.定岗检查，严格履行登记检查制度，认真填写工作记录，随时报告异常情况。</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5.无脱岗现象，做到仪表整洁，标志齐全，服务周到。</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6.做好对环境保护的监督，使之无乱扔、乱倒现象，对突发事件及时采取措施，控制局面并迅速报告相关部门。</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7.五一、十一、元旦、春节等国家规定的节日要加强安保等秩序维护。</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8.做好来访来客、物品出入登记。</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9.安保人员做好秩序维护，办公楼内及院落禁止出现人员聚集、寻衅滋事等事件发生，确保治安事件发生率为零，协助相关部门做好办公区上访维稳等工作。</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10.监控室严格值班管理，监控数据调取、查看需经过甲方审批后方可进行。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3" w:hRule="atLeast"/>
          <w:jc w:val="center"/>
        </w:trPr>
        <w:tc>
          <w:tcPr>
            <w:tcW w:w="1317" w:type="dxa"/>
            <w:vAlign w:val="center"/>
          </w:tcPr>
          <w:p>
            <w:pPr>
              <w:pStyle w:val="83"/>
              <w:spacing w:before="88" w:line="360" w:lineRule="auto"/>
              <w:ind w:left="98"/>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w:t>
            </w:r>
          </w:p>
        </w:tc>
        <w:tc>
          <w:tcPr>
            <w:tcW w:w="7805" w:type="dxa"/>
            <w:vAlign w:val="center"/>
          </w:tcPr>
          <w:p>
            <w:pPr>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保洁服务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一、公共区域卫生保洁：地面清洁：</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1.对公共区域地面进行彻底清洁，保持干净、整洁。</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  白天循环保洁，维护地面清洁。</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 避开领导及工作人员上下班开会聚集的时间和区域，领导及工作人员离散后再保洁。</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4.对领导及工作人员、来访人员进出频繁容易脏的区域重点保洁，并增加次数。</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5.遇下雪和雨天在公共区域进出口放置地垫，放置“小心地滑”告示牌。</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门厅清洁：</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1.对门厅口标牌、墙面、门窗每周擦拭一次，台阶每天擦拭一次。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2.对玻璃门窗的浮尘、指印、脏渍巡视擦拭。</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家具清洁：</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1.对公共区域内所有台、桌、凳、茶几等家具灰标牌和指示牌、栏杆、立柱烟缸、服务台每天擦拭一次。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2.每天一次清倒立式烟沙，保持清洁、卫生。</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3.公共区域地面有纸张等杂物，及时捡起擦净。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通道走廊：</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1.房间门、通道门每周至少清洁一次，做到无灰尘、无污染、无污垢、明亮洁净。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2.金属设施每周至少清洁两次，做到无灰尘、无污渍、无印迹、透亮洁净。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3.卫生间镜子每天清洁1次，做到无灰尘、无污渍、无印迹、透亮洁净。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4.垃圾桶、烟缸每天清洁一次，做到垃圾不外溢、烟头少于5个。5.垃圾桶内垃圾要及时清理，保持垃圾桶内外洁净、无异味，同时更换垃圾袋。</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6.楼梯、扶手每周清洁至少两次，做到无灰尘、无污渍、无印迹、擦拭洁净。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 门窗，边框每周至少清洁一次，做到无灰尘、无污渍、无印迹、墙亮洁净。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8.墙面每周清洁一次，做到无灰尘、无污渍、无印迹、内外洁净。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9.天花板饰物每季清洁一次，做到无灰尘、无污渍、无印迹。</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10.照明灯饰每月至少清洁一次，做到无灰尘、无污渍、无印迹、透亮洁净。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11.空调通风口每月清洁一次，做到无灰尘、无污渍、无印迹，内外洁净。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12.消防设施每月至少清洁一次，做到无灰尘、无污渍、无杂物、内外洁净。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13.廊道的花草每天擦拭清洁一次，做到叶面无灰尘，花盆无污渍，残枝败叶及时清扫 , 按要求做好浇水、养护。</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消防楼梯：</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1.地面台阶每天清洁一次，做到无灰尘、无垃圾、无污迹、干净清洁。</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2.扶手、护栏每周清洁两次，做到无灰尘、无污渍、无印迹、内外洁净。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3.标志、标牌每天清洁一次，做到无灰尘、无污垢、无印迹、光亮洁净。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 门窗、边框每周清洁两次，做到无灰尘、无污渍、无印迹、内外洁净。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5.墙面、脚踢板每天清洁一次，做到无灰尘、无污渍、无印迹、擦拭干净。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6.消防设施每周清洁一次，做到无灰尘，无污渍、无杂物、内外洁净。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7.照明天花板每周清洁一次，做到无灰尘、无污渍、无印迹、擦拭干净。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8.通风、空调口每周清洁一次，做到无灰尘、无污渍、无杂质、内外干净。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9.地面每天清洁两次，做到无灰尘，无杂物，无印迹、光亮洁净。洗手间：</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1.地面每天清洁两次并巡视保洁，做到无杂物、无污渍、无水迹、光亮洁净。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2.垃圾每天倾倒一次，垃圾不得超过桶体2/3处、内外洁净。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3.便池每天清洁两次，做到无杂物、无污迹、无异味、内外洁净。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4.水龙头巡视保洁，做到无污清、无水垢、光亮洁净。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5.玻璃、镜子每天清洁两次并巡视保洁；做到无灰尘、无污迹、无水迹、透亮洁净。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6.洗手池、台面巡视保洁，做到无灰尘，无污迹、无水迹、光滑洁净。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7.金属设施巡视保洁，做到无灰尘、无污渍、无水迹、光亮洁净。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8.墙面、隔板每周清洁一次，做到无灰尘、无污迹、无污垢、内外洁净。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 门窗每周清洁一次，做到无灰尘，无污迹、无污垢、透亮洁净。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10.空调、通风口每周清洁一次，做到无灰尘、无杂物、无污垢、内外洁净。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11.照明设备每月清洁一次，做到无灰尘、无污迹、无污垢、明亮洁净。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12.办公楼公共卫生间区域通风及香氛机香氛液补充，确保该区域空气清新，无异味杂味。电梯：</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1.按键墙面、显示屏每天清洁两次。做到无灰尘、无污渍、无杂物、光滑洁净。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 电梯门、框每天清洁一次，做到无灰尘、无污渍、无杂物、内外洁净。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3.标志、标牌每天清洁一次，做到无灰尘、无污渍、无杂物、光滑洁净。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4.金属物品每天清洁一次，做到无灰尘、无污渍、无杂物、透亮洁净。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5.边角、脚踏板每天清洁两次，做到无灰尘、无污渍、无杂物、擦拭干净。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6.照明灯具、天花板等周清洁一次，做到无灰尘、无污渍、无杂物、光亮洁净。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7.通风、空调口每周清洁一次，做到无灰尘、无污渍、无杂物、内外洁净。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二、入室保洁：</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1.部分办公室内家具、用品、设施等清洁光亮；挂在墙上的装饰画和地围、无框字画无尘、整洁。</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2.办公室内物品摆放整齐。</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3.每日检查卫生间内用电器和照明设备，根据情况及时登记报修。</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4.室内花草植物定期浇水、并保持花盆无污渍、无尘土，盆内无杂物。</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5.沙发、茶几下面灰尘每月至少清洁一次。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三、会议室：</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1.设施每天清洁一次，做到表面干净、光亮无污染。</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2.玻璃、镜子每周清洁两次。做到无水迹、无手印、光亮洁净。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3.墙面每周清洁一次，干净无浮尘。</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4.地面、金属件每日清洁一次，做到无污迹、光亮洁净。</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5.每次会议结束，彻底清洁。</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6.各类杯具必须保持干净、卫生，定期消毒。</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7.通风口每周清洁一次，做到清洁无尘。</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8.顶灯每周清洁一次，做到无灰尘、无污染。</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四、垃圾分类要求：</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垃圾按照可回收  不可回收  干湿垃圾分类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9" w:hRule="atLeast"/>
          <w:jc w:val="center"/>
        </w:trPr>
        <w:tc>
          <w:tcPr>
            <w:tcW w:w="1317" w:type="dxa"/>
            <w:vAlign w:val="center"/>
          </w:tcPr>
          <w:p>
            <w:pPr>
              <w:pStyle w:val="83"/>
              <w:spacing w:before="88" w:line="360" w:lineRule="auto"/>
              <w:ind w:left="98"/>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w:t>
            </w:r>
          </w:p>
        </w:tc>
        <w:tc>
          <w:tcPr>
            <w:tcW w:w="7805" w:type="dxa"/>
            <w:vAlign w:val="center"/>
          </w:tcPr>
          <w:p>
            <w:pPr>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会议服务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1.会议通知：接到甲方主管部门会议通知后，及时通知保洁、服务等相关部门做好会前准备工作。</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2.会议服务员应在会前30分钟到岗开管通风调整会议室内空调温度，保证会议室内无异味。</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3.会议室的地面、门窗、桌椅、植物要保持清洁，茶杯，会议文件等要摆放整齐。</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4.服务人员在工作中，穿工装，保持服装整洁。不准浓妆艳抹，染头发，戴发卡，染指甲及留长指甲。</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5.参会人入座后，要及时送上茶水等。</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6.做到热情服务，并保持安静，等候服务时勤观察，不走、不交谈。</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7.会议开始后，服务员应站在一旁，并及时观察参会人员对茶水等物品的需求，一般每间隔15分钟倒水一次，续水时面颊带笑，精神饱满，续水时要关闭手机。</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8.开会期间，会议服务人员要保证会议室内外环境安静，制止影响会议的事件发生。</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9.会议结束后，服务员应在门口送参会人员离开会场，检查会议室内有无遗留物品，并将会议用品清洗干净，消毒，摆放整齐。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3" w:hRule="atLeast"/>
          <w:jc w:val="center"/>
        </w:trPr>
        <w:tc>
          <w:tcPr>
            <w:tcW w:w="1317" w:type="dxa"/>
            <w:vAlign w:val="center"/>
          </w:tcPr>
          <w:p>
            <w:pPr>
              <w:pStyle w:val="83"/>
              <w:spacing w:before="88" w:line="360" w:lineRule="auto"/>
              <w:ind w:left="98"/>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w:t>
            </w:r>
          </w:p>
        </w:tc>
        <w:tc>
          <w:tcPr>
            <w:tcW w:w="7805" w:type="dxa"/>
            <w:vAlign w:val="center"/>
          </w:tcPr>
          <w:p>
            <w:pPr>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餐饮服务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1.要做到食品加工精工细作，体现各大菜系正宗菜肴口味特色。</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2.要不断推陈出新，研究大众菜和展现地方、民族特色。</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3.要科学搭配食品，粗粮细做，品种丰富；要满足不同地域、不同群体及少数民族的饮食风味和民族习俗，做到刀工精细，配料合理， 口味纯正，外形美观。</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4.要保证职工集中就餐的要求，保证菜品温度、外观、 口感。</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5.要做到随时添餐，现添现做。</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6.要注重菜肴的色、香、味、鲜，突出家常特色。</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7.要挖掘地方特色小吃（如：各类面食、煎饼、烧麦、炸糕、馅饼、包子等）。</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8.传统节日和重大节日供应相关食品。食堂内就餐公共区域内的日常保洁工作。</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9.食堂餐具的清洁、消毒及厨房日常管理工作。</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10.卫生清扫：食堂日常卫生由厨房人员打扫，每月需要两次大扫除。</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11.应急保障性服务：因工作需要或突发状况需要安排供餐的，中标人应按要求进行供餐保障。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jc w:val="center"/>
        </w:trPr>
        <w:tc>
          <w:tcPr>
            <w:tcW w:w="1317" w:type="dxa"/>
            <w:vAlign w:val="center"/>
          </w:tcPr>
          <w:p>
            <w:pPr>
              <w:pStyle w:val="83"/>
              <w:spacing w:before="88" w:line="360" w:lineRule="auto"/>
              <w:ind w:left="98"/>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w:t>
            </w:r>
          </w:p>
        </w:tc>
        <w:tc>
          <w:tcPr>
            <w:tcW w:w="7805" w:type="dxa"/>
            <w:vAlign w:val="center"/>
          </w:tcPr>
          <w:p>
            <w:pPr>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除害服务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1.突发公共卫生事件后对环境进行消毒。</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2.配合城市爱卫会做好本单位的除“四害”工作。</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3.公共场所要求24小时巡查，检查无堆放易燃、易爆物品，无乱搭电线，无违章用火用电，无挤占消防通道和设备，地面无堆放杂物。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1317" w:type="dxa"/>
            <w:vAlign w:val="center"/>
          </w:tcPr>
          <w:p>
            <w:pPr>
              <w:pStyle w:val="83"/>
              <w:spacing w:before="88" w:line="360" w:lineRule="auto"/>
              <w:ind w:left="98"/>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9</w:t>
            </w:r>
          </w:p>
        </w:tc>
        <w:tc>
          <w:tcPr>
            <w:tcW w:w="7805" w:type="dxa"/>
            <w:vAlign w:val="center"/>
          </w:tcPr>
          <w:p>
            <w:pPr>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专项服务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服务内容：局机关及乌拉山税务分局一年两次全楼玻璃清洁工作。</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1.做好高空作业人员安全防护以及培训工作，及时排除安全隐患。</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2.高空作业人员发生安全事故，责任由物业公司承担。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jc w:val="center"/>
        </w:trPr>
        <w:tc>
          <w:tcPr>
            <w:tcW w:w="1317" w:type="dxa"/>
            <w:vAlign w:val="center"/>
          </w:tcPr>
          <w:p>
            <w:pPr>
              <w:pStyle w:val="83"/>
              <w:spacing w:before="88" w:line="360" w:lineRule="auto"/>
              <w:ind w:left="98"/>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10</w:t>
            </w:r>
          </w:p>
        </w:tc>
        <w:tc>
          <w:tcPr>
            <w:tcW w:w="7805" w:type="dxa"/>
            <w:vAlign w:val="center"/>
          </w:tcPr>
          <w:p>
            <w:pPr>
              <w:spacing w:line="360" w:lineRule="auto"/>
              <w:jc w:val="both"/>
              <w:rPr>
                <w:rFonts w:hint="eastAsia" w:asciiTheme="minorEastAsia" w:hAnsiTheme="minorEastAsia" w:eastAsiaTheme="minorEastAsia" w:cstheme="minorEastAsia"/>
                <w:b/>
                <w:bCs/>
                <w:snapToGrid/>
                <w:sz w:val="24"/>
                <w:szCs w:val="24"/>
                <w:lang w:val="en-US" w:eastAsia="zh-CN"/>
              </w:rPr>
            </w:pPr>
            <w:r>
              <w:rPr>
                <w:rFonts w:hint="eastAsia" w:asciiTheme="minorEastAsia" w:hAnsiTheme="minorEastAsia" w:eastAsiaTheme="minorEastAsia" w:cstheme="minorEastAsia"/>
                <w:b/>
                <w:bCs/>
                <w:snapToGrid/>
                <w:sz w:val="24"/>
                <w:szCs w:val="24"/>
                <w:lang w:val="en-US" w:eastAsia="zh-CN"/>
              </w:rPr>
              <w:t>人员配置</w:t>
            </w:r>
          </w:p>
          <w:p>
            <w:pPr>
              <w:spacing w:line="360" w:lineRule="auto"/>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局机关大楼及乌拉山税务分局安保服务4人，乡镇税务所保洁、厨师、保安人员5人，局机关、乌拉山税务分局保洁及会议服务6人，物业经理1人，厨师长1人，炒菜、炖菜师傅1人，面点师1人，帮厨1人，洗碗工、服务员1人，共计21名工作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jc w:val="center"/>
        </w:trPr>
        <w:tc>
          <w:tcPr>
            <w:tcW w:w="1317" w:type="dxa"/>
            <w:vAlign w:val="center"/>
          </w:tcPr>
          <w:p>
            <w:pPr>
              <w:pStyle w:val="83"/>
              <w:spacing w:before="88" w:line="360" w:lineRule="auto"/>
              <w:ind w:left="98"/>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11</w:t>
            </w:r>
          </w:p>
        </w:tc>
        <w:tc>
          <w:tcPr>
            <w:tcW w:w="7805" w:type="dxa"/>
            <w:vAlign w:val="center"/>
          </w:tcPr>
          <w:p>
            <w:pPr>
              <w:spacing w:line="360" w:lineRule="auto"/>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napToGrid/>
                <w:sz w:val="24"/>
                <w:szCs w:val="24"/>
                <w:lang w:val="en-US" w:eastAsia="zh-CN"/>
              </w:rPr>
              <w:t>完</w:t>
            </w:r>
            <w:r>
              <w:rPr>
                <w:rFonts w:hint="eastAsia" w:asciiTheme="minorEastAsia" w:hAnsiTheme="minorEastAsia" w:eastAsiaTheme="minorEastAsia" w:cstheme="minorEastAsia"/>
                <w:b/>
                <w:bCs/>
                <w:sz w:val="24"/>
                <w:szCs w:val="24"/>
                <w:lang w:val="en-US" w:eastAsia="zh-CN"/>
              </w:rPr>
              <w:t>成分配的其他要求</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附则：以上人员要做好爱护清洁工具，节约用水，不在上班期间睡觉，不做其他与工作无关的事情。对违反管理规定的人员甲方有权进行批评、制止，对不服从管理、教育的及时向物业经理反应，同时甲方有权提出更换人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9" w:hRule="atLeast"/>
          <w:jc w:val="center"/>
        </w:trPr>
        <w:tc>
          <w:tcPr>
            <w:tcW w:w="1317" w:type="dxa"/>
            <w:vAlign w:val="center"/>
          </w:tcPr>
          <w:p>
            <w:pPr>
              <w:pStyle w:val="83"/>
              <w:spacing w:before="88" w:line="360" w:lineRule="auto"/>
              <w:ind w:left="98"/>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12</w:t>
            </w:r>
          </w:p>
        </w:tc>
        <w:tc>
          <w:tcPr>
            <w:tcW w:w="7805" w:type="dxa"/>
            <w:vAlign w:val="center"/>
          </w:tcPr>
          <w:p>
            <w:pPr>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采购单位与中标单位的费用界定</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1.采购单位负责的费用</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甲方负责特种设备及大型设备的维保：中央空调运行系统、智能系统、消防系统、灯光音响系统、电梯、给排水系统、厨房设备等特种设备和大型设备由甲方委托给专业维保公司（厂家）负责专业维保，乙方代甲方对维保情况进行确认。乙方负责建立运行检查制度并进行日常运行管理，发现故障及时联系维保方维修，需定期检测和年检的设备督促维保方定期年检。清洁作业过程中所产生的化粪池清理费用由甲方负责。</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（2）消防器材的定期年检，灭火器的补压等费用由甲方负责。</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（3）公共区域、室内外绿植的摆放由甲方负责。乙方负责对院落绿化带垃圾进行定期捡拾和清理；对楼内绿植进行养护。甲方免费提供乙方服务该项目所需的办公场所 、值班室、库房。</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（4）餐厅内所需设备及配件购置等由甲方负责支付。</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（5）餐厅场地水、电、气费用的支出由甲方负责支付。</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（6）餐厅内厨房厨具、餐具等设备设施的日常更换及损耗增补费用由甲方负责支付。</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 中标单位负责费用</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（1）用工成本。相关费用人员成本构成须包括按民法典、劳动法等相关法律规定且需符合当地薪资标准：</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（2）行政办公费用，办公用品用具等（服务活动中所需电脑、打印机、传真机、复印机）。</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（3）员工福利、劳保（服装等）。</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（4）各类物资装备投入。如保洁设备（单擦机、洗地机、吸尘器、地毯抽洗机等）、安保器械（对讲机、警戒棍等）、清洁设备（单擦机、洗地机、吸尘器 、地毯抽洗机等）。</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物料耗材（如：公共区域日常所需的卫生间手纸、洗手液等、拖布、尘推、扫把、垃圾铲、家私蜡、碧丽珠、清洁药剂。机关餐厅所需的食品袋、垃圾袋之类的塑料制品，洗洁精、洗碗清洗液、前厅抽纸、保鲜膜、火碱等耗材）等的相关费用。</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（6）保洁工具及专项费用：购买常用保洁工具及购买专项保洁用品（如：玻璃清 、不锈钢油等）所产生的相关费用。</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（7）一年两次局机关大楼及乌拉山税务分局玻璃清洁费用</w:t>
            </w:r>
          </w:p>
          <w:p>
            <w:pPr>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（8）垃圾外运的费用支出由乙方负责。</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（9）管理佣金。</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（10）税金。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1" w:hRule="atLeast"/>
          <w:jc w:val="center"/>
        </w:trPr>
        <w:tc>
          <w:tcPr>
            <w:tcW w:w="1317" w:type="dxa"/>
            <w:vAlign w:val="center"/>
          </w:tcPr>
          <w:p>
            <w:pPr>
              <w:pStyle w:val="83"/>
              <w:spacing w:before="88" w:line="360" w:lineRule="auto"/>
              <w:ind w:left="98"/>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12</w:t>
            </w:r>
          </w:p>
        </w:tc>
        <w:tc>
          <w:tcPr>
            <w:tcW w:w="7805" w:type="dxa"/>
            <w:vAlign w:val="center"/>
          </w:tcPr>
          <w:p>
            <w:pPr>
              <w:spacing w:line="360" w:lineRule="auto"/>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其它</w:t>
            </w:r>
            <w:r>
              <w:rPr>
                <w:rFonts w:hint="eastAsia" w:asciiTheme="minorEastAsia" w:hAnsiTheme="minorEastAsia" w:eastAsiaTheme="minorEastAsia" w:cstheme="minorEastAsia"/>
                <w:b/>
                <w:bCs/>
                <w:sz w:val="24"/>
                <w:szCs w:val="24"/>
                <w:lang w:val="en-US" w:eastAsia="zh-CN"/>
              </w:rPr>
              <w:t>说明:</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、物业委托管理期限为1年，按年度签订物业服务合同，物业服务费用按</w:t>
            </w:r>
            <w:r>
              <w:rPr>
                <w:rFonts w:hint="eastAsia" w:asciiTheme="minorEastAsia" w:hAnsiTheme="minorEastAsia" w:eastAsiaTheme="minorEastAsia" w:cstheme="minorEastAsia"/>
                <w:sz w:val="24"/>
                <w:szCs w:val="24"/>
                <w:lang w:val="en-US" w:eastAsia="zh-CN"/>
              </w:rPr>
              <w:t>月</w:t>
            </w:r>
            <w:r>
              <w:rPr>
                <w:rFonts w:hint="eastAsia" w:asciiTheme="minorEastAsia" w:hAnsiTheme="minorEastAsia" w:eastAsiaTheme="minorEastAsia" w:cstheme="minorEastAsia"/>
                <w:sz w:val="24"/>
                <w:szCs w:val="24"/>
                <w:lang w:eastAsia="zh-CN"/>
              </w:rPr>
              <w:t>支付。</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、要求物业人员每年定期体检，持相关从业资格证书及健康证上岗，无行业上岗证不准录用。</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、要求中标方给物业全体从业人员缴纳社会保险，按月定时发放从业人员工资。采购方发现违规用工，立即解除物业服务合同。</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投标方需严格按照向招标方报送人员配置执行，若有人员变动，需提前7日向招标方提出书面说明，招标方在物业服务人员选用中有权实行监管权力，确定选用人员各项要求符合用人条件，在日常工作中，招标方将不定期对物业人员进行考勤抽查及人员在岗情况，确保物业服务人员与要求配置人员一致。</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、其他要求根据实际情况在最终成交后签订合同中体现，双方有未尽事宜经协商一致后可签订补充协议。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5" w:hRule="atLeast"/>
          <w:jc w:val="center"/>
        </w:trPr>
        <w:tc>
          <w:tcPr>
            <w:tcW w:w="1317" w:type="dxa"/>
            <w:vAlign w:val="center"/>
          </w:tcPr>
          <w:p>
            <w:pPr>
              <w:pStyle w:val="83"/>
              <w:spacing w:before="88" w:line="360" w:lineRule="auto"/>
              <w:ind w:left="98"/>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13</w:t>
            </w:r>
          </w:p>
        </w:tc>
        <w:tc>
          <w:tcPr>
            <w:tcW w:w="7805" w:type="dxa"/>
            <w:vAlign w:val="center"/>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考核内容</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一、保洁：1.局机关</w:t>
            </w:r>
            <w:r>
              <w:rPr>
                <w:rFonts w:hint="eastAsia" w:asciiTheme="minorEastAsia" w:hAnsiTheme="minorEastAsia" w:eastAsiaTheme="minorEastAsia" w:cstheme="minorEastAsia"/>
                <w:sz w:val="24"/>
                <w:szCs w:val="24"/>
                <w:lang w:val="en-US" w:eastAsia="zh-CN"/>
              </w:rPr>
              <w:t>及乡镇税务分局（所）</w:t>
            </w:r>
            <w:r>
              <w:rPr>
                <w:rFonts w:hint="eastAsia" w:asciiTheme="minorEastAsia" w:hAnsiTheme="minorEastAsia" w:eastAsiaTheme="minorEastAsia" w:cstheme="minorEastAsia"/>
                <w:sz w:val="24"/>
                <w:szCs w:val="24"/>
                <w:lang w:eastAsia="zh-CN"/>
              </w:rPr>
              <w:t>工作人员对区域内公用部分的日常清洁工作进行检查，填写检查记录登记本。 日常检查中发现办公时间内楼外庭院、停车场、道路、绿地有废弃物 , 楼内地面有杂物、污渍，电梯内有杂物、污渍，卫生间有垃圾、污渍，绿化内有垃圾,设备用房有明显长时间未打扫的情况，</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在考核办法中扣除对应分值。（0.2分/每次每处）</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2.局机关</w:t>
            </w:r>
            <w:r>
              <w:rPr>
                <w:rFonts w:hint="eastAsia" w:asciiTheme="minorEastAsia" w:hAnsiTheme="minorEastAsia" w:eastAsiaTheme="minorEastAsia" w:cstheme="minorEastAsia"/>
                <w:sz w:val="24"/>
                <w:szCs w:val="24"/>
                <w:lang w:val="en-US" w:eastAsia="zh-CN"/>
              </w:rPr>
              <w:t>及乡镇税务分局（所）</w:t>
            </w:r>
            <w:r>
              <w:rPr>
                <w:rFonts w:hint="eastAsia" w:asciiTheme="minorEastAsia" w:hAnsiTheme="minorEastAsia" w:eastAsiaTheme="minorEastAsia" w:cstheme="minorEastAsia"/>
                <w:sz w:val="24"/>
                <w:szCs w:val="24"/>
                <w:lang w:eastAsia="zh-CN"/>
              </w:rPr>
              <w:t>领导在检查中发现有上述情况的，</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在考核办法中扣除对应分值。 (0.3分/每次每处）</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.局机关</w:t>
            </w:r>
            <w:r>
              <w:rPr>
                <w:rFonts w:hint="eastAsia" w:asciiTheme="minorEastAsia" w:hAnsiTheme="minorEastAsia" w:eastAsiaTheme="minorEastAsia" w:cstheme="minorEastAsia"/>
                <w:sz w:val="24"/>
                <w:szCs w:val="24"/>
                <w:lang w:val="en-US" w:eastAsia="zh-CN"/>
              </w:rPr>
              <w:t>及乡镇税务分局（所）</w:t>
            </w:r>
            <w:r>
              <w:rPr>
                <w:rFonts w:hint="eastAsia" w:asciiTheme="minorEastAsia" w:hAnsiTheme="minorEastAsia" w:eastAsiaTheme="minorEastAsia" w:cstheme="minorEastAsia"/>
                <w:sz w:val="24"/>
                <w:szCs w:val="24"/>
                <w:lang w:eastAsia="zh-CN"/>
              </w:rPr>
              <w:t>工作人员检查或其他部门反映卫生间纸张、洗手液缺失且未按时增加的,</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方在考核办法中扣除对应分值。（0.3分/次）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二、保安：1.局机关</w:t>
            </w:r>
            <w:r>
              <w:rPr>
                <w:rFonts w:hint="eastAsia" w:asciiTheme="minorEastAsia" w:hAnsiTheme="minorEastAsia" w:eastAsiaTheme="minorEastAsia" w:cstheme="minorEastAsia"/>
                <w:sz w:val="24"/>
                <w:szCs w:val="24"/>
                <w:lang w:val="en-US" w:eastAsia="zh-CN"/>
              </w:rPr>
              <w:t>及乡镇税务分局（所）</w:t>
            </w:r>
            <w:r>
              <w:rPr>
                <w:rFonts w:hint="eastAsia" w:asciiTheme="minorEastAsia" w:hAnsiTheme="minorEastAsia" w:eastAsiaTheme="minorEastAsia" w:cstheme="minorEastAsia"/>
                <w:sz w:val="24"/>
                <w:szCs w:val="24"/>
                <w:lang w:eastAsia="zh-CN"/>
              </w:rPr>
              <w:t>工作人员日常抽查交接班记录本、来访登记本，发现不规范或应记录未记录、应登记未登记情况，</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在考核办法中对应项扣除对应分值。（0.5分/次）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2.局机关</w:t>
            </w:r>
            <w:r>
              <w:rPr>
                <w:rFonts w:hint="eastAsia" w:asciiTheme="minorEastAsia" w:hAnsiTheme="minorEastAsia" w:eastAsiaTheme="minorEastAsia" w:cstheme="minorEastAsia"/>
                <w:sz w:val="24"/>
                <w:szCs w:val="24"/>
                <w:lang w:val="en-US" w:eastAsia="zh-CN"/>
              </w:rPr>
              <w:t>及乡镇税务分局（所）</w:t>
            </w:r>
            <w:r>
              <w:rPr>
                <w:rFonts w:hint="eastAsia" w:asciiTheme="minorEastAsia" w:hAnsiTheme="minorEastAsia" w:eastAsiaTheme="minorEastAsia" w:cstheme="minorEastAsia"/>
                <w:sz w:val="24"/>
                <w:szCs w:val="24"/>
                <w:lang w:eastAsia="zh-CN"/>
              </w:rPr>
              <w:t>工作人员每周对视频检查系统运行情况和夜班巡逻执勤、维保人员在岗情况进行检查，发现监控运行异常未及时报修或人员擅离职守情况，甲方在考核办法中扣除对应分值。（1分/次）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3.局机关</w:t>
            </w:r>
            <w:r>
              <w:rPr>
                <w:rFonts w:hint="eastAsia" w:asciiTheme="minorEastAsia" w:hAnsiTheme="minorEastAsia" w:eastAsiaTheme="minorEastAsia" w:cstheme="minorEastAsia"/>
                <w:sz w:val="24"/>
                <w:szCs w:val="24"/>
                <w:lang w:val="en-US" w:eastAsia="zh-CN"/>
              </w:rPr>
              <w:t>及乡镇税务分局（所）</w:t>
            </w:r>
            <w:r>
              <w:rPr>
                <w:rFonts w:hint="eastAsia" w:asciiTheme="minorEastAsia" w:hAnsiTheme="minorEastAsia" w:eastAsiaTheme="minorEastAsia" w:cstheme="minorEastAsia"/>
                <w:sz w:val="24"/>
                <w:szCs w:val="24"/>
                <w:lang w:eastAsia="zh-CN"/>
              </w:rPr>
              <w:t>领导在检查中发现有以上情况的，甲方在考核办法中扣除对应分值。(2分/次）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4.安保人员做好秩序维护，办公楼内及院落禁止出现人员聚集、寻衅滋事等事件发生，确保治安事件发生率为零，协助相关部门做好办公区上访维稳等工作。如发生人员聚集 、寻衅滋事等治安事件，</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在考核办法中扣除对应分值。（5分-15分/次）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三、维修维护：1.局机关</w:t>
            </w:r>
            <w:r>
              <w:rPr>
                <w:rFonts w:hint="eastAsia" w:asciiTheme="minorEastAsia" w:hAnsiTheme="minorEastAsia" w:eastAsiaTheme="minorEastAsia" w:cstheme="minorEastAsia"/>
                <w:sz w:val="24"/>
                <w:szCs w:val="24"/>
                <w:lang w:val="en-US" w:eastAsia="zh-CN"/>
              </w:rPr>
              <w:t>及乡镇税务分局（所）</w:t>
            </w:r>
            <w:r>
              <w:rPr>
                <w:rFonts w:hint="eastAsia" w:asciiTheme="minorEastAsia" w:hAnsiTheme="minorEastAsia" w:eastAsiaTheme="minorEastAsia" w:cstheme="minorEastAsia"/>
                <w:sz w:val="24"/>
                <w:szCs w:val="24"/>
                <w:lang w:eastAsia="zh-CN"/>
              </w:rPr>
              <w:t>工作人员、领导交代的设备、设施小损、小坏的维修，人员不能及时到位、维修时间超过1天的，甲方在考核办法中扣除对应分值。（1分/次 )</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2.局机关</w:t>
            </w:r>
            <w:r>
              <w:rPr>
                <w:rFonts w:hint="eastAsia" w:asciiTheme="minorEastAsia" w:hAnsiTheme="minorEastAsia" w:eastAsiaTheme="minorEastAsia" w:cstheme="minorEastAsia"/>
                <w:sz w:val="24"/>
                <w:szCs w:val="24"/>
                <w:lang w:val="en-US" w:eastAsia="zh-CN"/>
              </w:rPr>
              <w:t>及乡镇税务分局（所）</w:t>
            </w:r>
            <w:r>
              <w:rPr>
                <w:rFonts w:hint="eastAsia" w:asciiTheme="minorEastAsia" w:hAnsiTheme="minorEastAsia" w:eastAsiaTheme="minorEastAsia" w:cstheme="minorEastAsia"/>
                <w:sz w:val="24"/>
                <w:szCs w:val="24"/>
                <w:lang w:eastAsia="zh-CN"/>
              </w:rPr>
              <w:t>工作人员、领导交代的设备、设施小损、小坏的维修，多次催促不能维修的，</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在考核办法中扣除对应分值。（3分/次）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3.因巡查不及时、值班不到位发生设备事故造成可控范围内的停电、停水、漏水的，</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在考核办法中扣除对应分值。（3分/次）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4.因巡查不及时、值班不到位发生设备事故造成停电、停水、漏水、火灾事故的，影响重大或造成严重损失的，除根据实际补偿</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的损失，</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在考核办法中扣除对应分值 。（20分/次）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5局机关</w:t>
            </w:r>
            <w:r>
              <w:rPr>
                <w:rFonts w:hint="eastAsia" w:asciiTheme="minorEastAsia" w:hAnsiTheme="minorEastAsia" w:eastAsiaTheme="minorEastAsia" w:cstheme="minorEastAsia"/>
                <w:sz w:val="24"/>
                <w:szCs w:val="24"/>
                <w:lang w:val="en-US" w:eastAsia="zh-CN"/>
              </w:rPr>
              <w:t>及乡镇税务分局（所）</w:t>
            </w:r>
            <w:r>
              <w:rPr>
                <w:rFonts w:hint="eastAsia" w:asciiTheme="minorEastAsia" w:hAnsiTheme="minorEastAsia" w:eastAsiaTheme="minorEastAsia" w:cstheme="minorEastAsia"/>
                <w:sz w:val="24"/>
                <w:szCs w:val="24"/>
                <w:lang w:eastAsia="zh-CN"/>
              </w:rPr>
              <w:t>工作人员每周检查维保人员设备运行记录本，发现一次不登记或登记不规范的，</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在考核办法中扣除对应分值。（0.2分/次）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四、会议服务：1.机关服务中心工作人员每周不定时检查值班室、接待室、会议室及其他指定区域卫生，发现卫生不合格，甲方在考核办法中扣除对应分值。（0.2分/次）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2.其他部门反映未按要求保障会议室清洁，未按要求进行会议服务的，</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在考核办法中扣除对应分值。（1分/次）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3.负责的其他临时性指派任务不能及时完成的情况，</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CN"/>
              </w:rPr>
              <w:t>在考核办法中扣除对应分值。（0.5分/次）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lang w:eastAsia="zh-CN"/>
              </w:rPr>
              <w:t>、餐饮服务：1.保证所提供食品质量，每餐食品均要留样。留样品种达到100%且重量不少于100克，留样时间48小时，留样记录完整详实，留样设备专人专管专用，未按要求执行甲方在考核办法中扣除对应分值。（0 .5分/次）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2..保障职工集中就餐的要求，传统节日和重大节日供应相关食品，如无特殊原因造成职工就餐长时间推迟或无法及时保障就餐，甲方在考核办法中扣除对应分值（1分/次）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3.就餐公共区域内的日常保洁工作，食堂日常卫生由餐厅人员负责打扫，每月需要两次大扫除，如发现餐厅内卫生不达标，甲方在考核办法中扣除对应分值。（0 .2分/次）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4.餐厅服务人员及后厨人员确保食堂餐具的清洁、消毒及厨房日常管理工作，如有人反映或在检查中发现餐具厨具清洁消毒不到位，甲方在考核办法中扣除对应分值。（0.3分/次）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5.其他保障性服务：因工作需要或突发状况需要安排供餐的，中标人应按要求进行供餐保障，拒绝提供保障服务给单位造成工作影响的，甲方在考核办法中扣除对应分值。(1分）</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lang w:eastAsia="zh-CN"/>
              </w:rPr>
              <w:t>、除害服务：1.室内外保持环境整洁，定点放置毒鼠屋，投放安全有效类鼠药，严禁使用剧毒违禁药物，如发现有鼠类痕迹，及时使用有效手段或请专业人员进行灭鼠工作 。如发现后依旧不及时处理的，甲方在考核办法中扣除对应分值。（0.5分/次）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2.定期清理下水道，垃圾日产日清，搞好公共区域尤其卫生间卫生，如发现大量蚊、蝇区域，及时喷洒药物进行灭杀措施，若发现未及时处理，甲方在考核办法中扣除对应分值。（0.5分/次）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餐厅内确保环境整洁干净，厨房确保管道及下水系统油污和食物残渣的及时清理，定期投放灭蟑药物或邀请第三方专业人员进行灭杀，如发现有蟑螂活体影响餐厅食物卫生安全现象，甲方在考核办法中扣除对应分值。（0.5分/次）</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lang w:eastAsia="zh-CN"/>
              </w:rPr>
              <w:t>、其他服务：乙方需配合甲方完成其他临时性布置的、不影响公平公正、合同约定之内、无需额外支付费用的工作任务，如拒不配合的，甲方将根据实际情况在考核办法中扣除对应分值。甲方将不定期对乙方各岗位物业服务人员的在岗情况进行监督检查。如发现人员配置未达到本需求约定标准，甲方将根据缺岗人次在考核办法中扣除对应分值。（0.5分-5分）</w:t>
            </w:r>
          </w:p>
          <w:p>
            <w:pPr>
              <w:pStyle w:val="83"/>
              <w:spacing w:before="86" w:line="360" w:lineRule="auto"/>
              <w:ind w:right="106"/>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考</w:t>
            </w:r>
            <w:r>
              <w:rPr>
                <w:rFonts w:hint="eastAsia" w:asciiTheme="minorEastAsia" w:hAnsiTheme="minorEastAsia" w:eastAsiaTheme="minorEastAsia" w:cstheme="minorEastAsia"/>
                <w:kern w:val="2"/>
                <w:sz w:val="24"/>
                <w:szCs w:val="24"/>
                <w:lang w:val="en-US" w:eastAsia="zh-CN" w:bidi="ar-SA"/>
              </w:rPr>
              <w:t>核运用</w:t>
            </w:r>
          </w:p>
          <w:p>
            <w:pPr>
              <w:pStyle w:val="83"/>
              <w:spacing w:before="208" w:line="360" w:lineRule="auto"/>
              <w:ind w:right="11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根据每月考核结果，在季度结束后收到中标方提供的合规发票等付款资料且审核无误后的30日，按照月度考核得分对应的支付比例。月度考核得分90分（含）以上，支付当月费用的100%；80-89分，支付当月费用的90%；70-79分，支付当月费用的80%；70分以下，采购人有权要求中标方限期整改，整改验收合格后按 70%支付，若未完成整改或整改仍不合格，给甲方造成不良影响和损失，除责任均由乙方承担外，甲方有权利单方面解除合同重新进行招标。扣除乙方考核周期内年度合同总金额的8%作为违约金。（以甲乙双方合同约定为准）</w:t>
            </w:r>
          </w:p>
          <w:p>
            <w:pPr>
              <w:pStyle w:val="83"/>
              <w:spacing w:before="238" w:line="360" w:lineRule="auto"/>
              <w:ind w:right="146"/>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2.乙方需要按照甲方的需求配置物业服务人员，并满足持证上岗人员必须人证合一 、各岗位物业服务人员达到在岗人数要求等，由于乙方的管理或不按照甲方的需求配置物业服务人员造成各类突发事件、恶性事件、火灾事故、人身安全事故等事件，甲方将根据实际情况，依据事态的严重性、社会影响力、责任划定等，有权利按照比例支付或拒绝支付乙方年度合同物业服务费并单方面解除合同。</w:t>
            </w:r>
          </w:p>
          <w:p>
            <w:pPr>
              <w:spacing w:line="360" w:lineRule="auto"/>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3.本服务考核细则，中标人可与甲方签订合同时可进一步协商调整，但调整后的考核项目、考核标准、考核分值原则上不得低于本考核细则（特殊情形除外）。</w:t>
            </w:r>
          </w:p>
        </w:tc>
      </w:tr>
    </w:tbl>
    <w:p>
      <w:pPr>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br w:type="page"/>
      </w:r>
    </w:p>
    <w:p>
      <w:pPr>
        <w:pStyle w:val="29"/>
        <w:shd w:val="clear"/>
        <w:spacing w:line="360" w:lineRule="auto"/>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t>第四章 供应商应当提交的资格、资信证明文件</w:t>
      </w:r>
      <w:bookmarkEnd w:id="30"/>
    </w:p>
    <w:p>
      <w:pPr>
        <w:pStyle w:val="31"/>
        <w:numPr>
          <w:ilvl w:val="0"/>
          <w:numId w:val="0"/>
        </w:numPr>
        <w:ind w:leftChars="0"/>
        <w:rPr>
          <w:lang w:val="zh-CN"/>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供应商应提交证明其有资格参加投标和成交后有能力履行合同的相关文件，并作为其响应文件的一部分，所有文件必须真实可靠、不得伪造，否则将按相关规定予以处罚。</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1）开户许可证或供应商基本账户信息（包括账户名称、账号、开户行名称等）)、营业执照副本。</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2）企业法人身份证复印件、企业法人委托书，被委托人身份证。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cs="宋体"/>
          <w:sz w:val="24"/>
          <w:szCs w:val="24"/>
          <w:shd w:val="clear" w:color="auto" w:fill="FFFFFF"/>
          <w:lang w:val="en-US" w:eastAsia="zh-CN"/>
        </w:rPr>
        <w:t>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企业无被列入政府采购严重违法失信行为记录名单，以《中国政府采购网》（http://www.ccgp.gov.cn/search/cr/）上的截图信息为准，提供网站截图。</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4）审查2024年度的财务审计报告或财务报表或基本开户银行近一年内出具的资信证明；</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5）提供递交响应文件截止之日前一年内（至少一个月）依法缴纳税收的凭证或依法缴纳税收承诺函和缴纳社会保险的凭证或依法缴纳社保的资金保障的相关承诺函；（承诺函格式自拟）</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注：其他组织和自然人也需要提供缴纳税收的凭据金额缴纳社保的凭据。依法免税或不需要缴纳社会保障资金的投标人，应提供相应文件证明其依法免税或不需要缴纳社会保障资金。</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6）中小企业声明函；</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按照磋商文件要求，供应商应当提交的</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资格、资信证明</w:t>
      </w:r>
      <w:r>
        <w:rPr>
          <w:rFonts w:hint="eastAsia" w:asciiTheme="minorEastAsia" w:hAnsiTheme="minorEastAsia" w:eastAsiaTheme="minorEastAsia" w:cstheme="minorEastAsia"/>
          <w:kern w:val="0"/>
          <w:sz w:val="24"/>
          <w:szCs w:val="24"/>
          <w:lang w:eastAsia="zh-CN"/>
        </w:rPr>
        <w:t>等</w:t>
      </w:r>
      <w:r>
        <w:rPr>
          <w:rFonts w:hint="eastAsia" w:asciiTheme="minorEastAsia" w:hAnsiTheme="minorEastAsia" w:eastAsiaTheme="minorEastAsia" w:cstheme="minorEastAsia"/>
          <w:kern w:val="0"/>
          <w:sz w:val="24"/>
          <w:szCs w:val="24"/>
        </w:rPr>
        <w:t>文件。</w:t>
      </w:r>
    </w:p>
    <w:p>
      <w:pPr>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br w:type="page"/>
      </w:r>
    </w:p>
    <w:p>
      <w:pPr>
        <w:pStyle w:val="29"/>
        <w:shd w:val="clear"/>
        <w:spacing w:line="360" w:lineRule="auto"/>
        <w:rPr>
          <w:rFonts w:hint="eastAsia" w:ascii="宋体" w:hAnsi="宋体" w:eastAsia="宋体"/>
          <w:bCs w:val="0"/>
          <w:kern w:val="2"/>
          <w:sz w:val="28"/>
          <w:szCs w:val="28"/>
          <w:lang w:val="zh-CN"/>
        </w:rPr>
      </w:pPr>
      <w:bookmarkStart w:id="33" w:name="_Toc17685"/>
      <w:bookmarkStart w:id="34" w:name="_Toc30960"/>
      <w:r>
        <w:rPr>
          <w:rFonts w:hint="eastAsia" w:ascii="宋体" w:hAnsi="宋体" w:eastAsia="宋体"/>
          <w:bCs w:val="0"/>
          <w:kern w:val="2"/>
          <w:sz w:val="28"/>
          <w:szCs w:val="28"/>
          <w:lang w:val="zh-CN"/>
        </w:rPr>
        <w:t>第五章 评审</w:t>
      </w:r>
      <w:bookmarkEnd w:id="33"/>
      <w:bookmarkEnd w:id="34"/>
    </w:p>
    <w:p>
      <w:pPr>
        <w:keepNext w:val="0"/>
        <w:keepLines w:val="0"/>
        <w:pageBreakBefore w:val="0"/>
        <w:kinsoku/>
        <w:wordWrap/>
        <w:overflowPunct/>
        <w:topLinePunct w:val="0"/>
        <w:bidi w:val="0"/>
        <w:spacing w:line="360" w:lineRule="auto"/>
        <w:textAlignment w:val="auto"/>
        <w:rPr>
          <w:rFonts w:hint="eastAsia" w:ascii="宋体" w:hAnsi="宋体" w:eastAsia="宋体" w:cs="宋体"/>
          <w:b/>
          <w:bCs/>
          <w:kern w:val="44"/>
          <w:sz w:val="24"/>
          <w:szCs w:val="24"/>
          <w:lang w:val="zh-CN"/>
        </w:rPr>
      </w:pPr>
      <w:r>
        <w:rPr>
          <w:rFonts w:hint="eastAsia" w:ascii="宋体" w:hAnsi="宋体" w:eastAsia="宋体" w:cs="宋体"/>
          <w:b/>
          <w:bCs/>
          <w:kern w:val="44"/>
          <w:sz w:val="24"/>
          <w:szCs w:val="24"/>
          <w:lang w:val="zh-CN"/>
        </w:rPr>
        <w:t>一、评审要求</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1.评审方法</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综合评分法，响应文件满足磋商文件全部实质性要求，且按照评审因素的量化指标评审得分最高的供应商为成交候选人的评审方法。（最低报价不是成交的唯一依据。）</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2.评审原则</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1.1评审活动遵循公平、公正、科学和择优的原则，以磋商文件和响应文件为评审的基本依据，并按照磋商文件规定的评审方法和评审标准进行评审。</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1.2具体评审事项由磋商小组负责，并按磋商文件的规定办法进行评审。</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3.磋商小组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1.1磋商小组由评审专家3人</w:t>
      </w:r>
      <w:r>
        <w:rPr>
          <w:rFonts w:hint="eastAsia" w:ascii="宋体" w:hAnsi="宋体" w:cs="宋体"/>
          <w:sz w:val="24"/>
          <w:szCs w:val="24"/>
          <w:lang w:eastAsia="zh-CN"/>
        </w:rPr>
        <w:t>及</w:t>
      </w:r>
      <w:r>
        <w:rPr>
          <w:rFonts w:hint="eastAsia" w:ascii="宋体" w:hAnsi="宋体" w:eastAsia="宋体" w:cs="宋体"/>
          <w:sz w:val="24"/>
          <w:szCs w:val="24"/>
        </w:rPr>
        <w:t>以上单数组成。</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磋商小组成员有下列情形之一的，应当回避：</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（1）参加采购活动前三年内,与供应商存在劳动关系,或者担任过供应商的董事、监事,或者是供应商的控股股东或实际控制人；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（2）与供应商的法定代表人或者负责人有夫妻、直系血亲、三代以内旁系血亲或者近姻亲关系；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（3）与供应商有其他可能影响政府采购活动公平、公正进行的关系；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1.3磋商小组负责具体评审事务，并独立履行下列职责：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（1）审查、评价响应文件是否符合磋商文件的商务、技术等实质性要求；</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（2）要求供应商对响应文件有关事项作出澄清或者说明，与供应商进行分别磋商；</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（3）对响应文件进行比较和评价；</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（4）确定成交候选人名单，以及根据采购人委托直接确定成交人；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（5）向采购人、采购代理机构或者有关部门报告评审中发现的违法行为；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（6）法律法规规定的其他职责。</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4.澄清</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采用书面形式，并加盖公章，或者由法定代表人或其授权的代表签字。供应商的澄清、说明或者更正不得超出响应文件的范围或者改变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3.1磋商小组不接受供应商主动提出的澄清、说明或更正。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3.2磋商小组对供应商提交的澄清、说明或更正有疑问的，可以要求供应商进一步澄清、说明或更正。</w:t>
      </w:r>
    </w:p>
    <w:p>
      <w:pPr>
        <w:keepNext w:val="0"/>
        <w:keepLines w:val="0"/>
        <w:pageBreakBefore w:val="0"/>
        <w:numPr>
          <w:ilvl w:val="0"/>
          <w:numId w:val="0"/>
        </w:numPr>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有下列情形之一的，视为供应商串通投标：</w:t>
      </w:r>
    </w:p>
    <w:p>
      <w:pPr>
        <w:pStyle w:val="73"/>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（2）不同供应商委托同一单位或者个人办理投标事宜；</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（3）不同供应商的响应文件载明的项目管理成员或者联系人员为同一人；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（4）不同供应商的响应文件异常一致或者投标报价呈规律性差异；</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（5）不同供应商的投标保证金为从同一单位或个人的账户转出；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color w:val="auto"/>
          <w:kern w:val="0"/>
          <w:sz w:val="24"/>
          <w:szCs w:val="24"/>
          <w:highlight w:val="none"/>
        </w:rPr>
        <w:t>说明：在项目评审时被认定为串通投标的供应商不得参加该合同项</w:t>
      </w:r>
      <w:r>
        <w:rPr>
          <w:rFonts w:hint="eastAsia" w:ascii="宋体" w:hAnsi="宋体" w:eastAsia="宋体" w:cs="宋体"/>
          <w:kern w:val="0"/>
          <w:sz w:val="24"/>
          <w:szCs w:val="24"/>
          <w:highlight w:val="none"/>
        </w:rPr>
        <w:t>下的采购活动</w:t>
      </w:r>
      <w:r>
        <w:rPr>
          <w:rFonts w:hint="eastAsia" w:ascii="宋体" w:hAnsi="宋体" w:eastAsia="宋体" w:cs="宋体"/>
          <w:kern w:val="0"/>
          <w:sz w:val="24"/>
          <w:szCs w:val="24"/>
          <w:highlight w:val="none"/>
          <w:lang w:eastAsia="zh-CN"/>
        </w:rPr>
        <w:t>。</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有下列情形之一的，属于恶意串通投标：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（1）供应商直接或者间接从采购人或者采购代理机构处获得其他供应商的相关情况并修改其响应文件；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（2）供应商按照采购人或者采购代理机构的授意撤换、修改响应文件</w:t>
      </w:r>
      <w:r>
        <w:rPr>
          <w:rFonts w:hint="eastAsia" w:ascii="宋体" w:hAnsi="宋体" w:eastAsia="宋体" w:cs="宋体"/>
          <w:sz w:val="24"/>
          <w:szCs w:val="24"/>
          <w:lang w:eastAsia="zh-CN"/>
        </w:rPr>
        <w:t>的</w:t>
      </w:r>
      <w:r>
        <w:rPr>
          <w:rFonts w:hint="eastAsia" w:ascii="宋体" w:hAnsi="宋体" w:eastAsia="宋体" w:cs="宋体"/>
          <w:sz w:val="24"/>
          <w:szCs w:val="24"/>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（3）供应商之间协商报价、技术方案等响应文件或者响应文件的实质性内容；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（4）属于同一集团、协会、商会等组织成员的供应商按照该组织要求协同参加政府采购活动；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（5）供应商之间事先约定由某一特定供应商成交；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（6）供应商之间商定部分供应商放弃参加政府采购活动或者放弃成交；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（7）供应商与采购人或者采购代理机构之间、供应商相互之间，为谋求特定供应商成交或者排斥其他供应商的其他串通行为。</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7.投标无效的情形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详见资格性审查、符合性审查和磋商文件其他投标无效条款。</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8.废标（终止）的情形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w:t>
      </w:r>
      <w:r>
        <w:rPr>
          <w:rFonts w:hint="eastAsia" w:ascii="宋体" w:hAnsi="宋体" w:cs="宋体"/>
          <w:sz w:val="24"/>
          <w:szCs w:val="24"/>
          <w:lang w:eastAsia="zh-CN"/>
        </w:rPr>
        <w:t>综合磋商</w:t>
      </w:r>
      <w:r>
        <w:rPr>
          <w:rFonts w:hint="eastAsia" w:ascii="宋体" w:hAnsi="宋体" w:eastAsia="宋体" w:cs="宋体"/>
          <w:sz w:val="24"/>
          <w:szCs w:val="24"/>
        </w:rPr>
        <w:t>采购活动，发布项目终止公告并说明原因，重新开展采购活动：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（1）因情况变化，不再符合规定的</w:t>
      </w:r>
      <w:r>
        <w:rPr>
          <w:rFonts w:hint="eastAsia" w:ascii="宋体" w:hAnsi="宋体" w:cs="宋体"/>
          <w:sz w:val="24"/>
          <w:szCs w:val="24"/>
          <w:lang w:eastAsia="zh-CN"/>
        </w:rPr>
        <w:t>综合磋商</w:t>
      </w:r>
      <w:r>
        <w:rPr>
          <w:rFonts w:hint="eastAsia" w:ascii="宋体" w:hAnsi="宋体" w:eastAsia="宋体" w:cs="宋体"/>
          <w:sz w:val="24"/>
          <w:szCs w:val="24"/>
        </w:rPr>
        <w:t>采购方式适用情形的；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在采购过程中符合磋商要求的供应商或者报价未超过采购预算的供应商不足3家的，但经财政部门批准的情形除外；</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（4）法律、法规以及</w:t>
      </w:r>
      <w:r>
        <w:rPr>
          <w:rFonts w:hint="eastAsia" w:ascii="宋体" w:hAnsi="宋体" w:eastAsia="宋体" w:cs="宋体"/>
          <w:sz w:val="24"/>
          <w:szCs w:val="24"/>
          <w:lang w:eastAsia="zh-CN"/>
        </w:rPr>
        <w:t>磋商文件</w:t>
      </w:r>
      <w:r>
        <w:rPr>
          <w:rFonts w:hint="eastAsia" w:ascii="宋体" w:hAnsi="宋体" w:eastAsia="宋体" w:cs="宋体"/>
          <w:sz w:val="24"/>
          <w:szCs w:val="24"/>
        </w:rPr>
        <w:t>规定其他情形。</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9.定标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磋商小组按照磋商文件确定的评审方法、步骤、标准，对响应文件进行评审。评审结束后，对供应商的评审名次进行排序，确定成交人或者推荐成交候选人。</w:t>
      </w:r>
    </w:p>
    <w:p>
      <w:pPr>
        <w:keepNext w:val="0"/>
        <w:keepLines w:val="0"/>
        <w:pageBreakBefore w:val="0"/>
        <w:widowControl/>
        <w:numPr>
          <w:ilvl w:val="0"/>
          <w:numId w:val="6"/>
        </w:numPr>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政府采购政策落实</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1.本项目落实政府采购政策需满足的资格要求：本项目专门面向中小企业，需提供中小企业声明函。</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三、评审程序</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1.资格性审查和符合性审查</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资格性审查。</w:t>
      </w:r>
      <w:r>
        <w:rPr>
          <w:rFonts w:hint="eastAsia" w:ascii="宋体" w:hAnsi="宋体" w:eastAsia="宋体" w:cs="宋体"/>
          <w:b/>
          <w:bCs/>
          <w:kern w:val="0"/>
          <w:sz w:val="24"/>
          <w:szCs w:val="24"/>
          <w:lang w:eastAsia="zh-CN"/>
        </w:rPr>
        <w:t>采购人或采购代理机构</w:t>
      </w:r>
      <w:r>
        <w:rPr>
          <w:rFonts w:hint="eastAsia" w:ascii="宋体" w:hAnsi="宋体" w:eastAsia="宋体" w:cs="宋体"/>
          <w:kern w:val="0"/>
          <w:sz w:val="24"/>
          <w:szCs w:val="24"/>
        </w:rPr>
        <w:t>依据法律法规和磋商文件的规定，对响应文件中的资格证明文件等进行审查，以确定投标供应商是否具备投标资格。</w:t>
      </w:r>
      <w:r>
        <w:rPr>
          <w:rFonts w:hint="eastAsia" w:ascii="宋体" w:hAnsi="宋体" w:eastAsia="宋体" w:cs="宋体"/>
          <w:b/>
          <w:kern w:val="0"/>
          <w:sz w:val="24"/>
          <w:szCs w:val="24"/>
        </w:rPr>
        <w:t>（详见后附表资格性审查表）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符合性审查。</w:t>
      </w:r>
      <w:r>
        <w:rPr>
          <w:rFonts w:hint="eastAsia" w:ascii="宋体" w:hAnsi="宋体" w:eastAsia="宋体" w:cs="宋体"/>
          <w:b/>
          <w:bCs/>
          <w:kern w:val="0"/>
          <w:sz w:val="24"/>
          <w:szCs w:val="24"/>
          <w:lang w:eastAsia="zh-CN"/>
        </w:rPr>
        <w:t>磋商小组</w:t>
      </w:r>
      <w:r>
        <w:rPr>
          <w:rFonts w:hint="eastAsia" w:ascii="宋体" w:hAnsi="宋体" w:eastAsia="宋体" w:cs="宋体"/>
          <w:kern w:val="0"/>
          <w:sz w:val="24"/>
          <w:szCs w:val="24"/>
        </w:rPr>
        <w:t>依据磋商文件的规定，从响应文件的有效性、完整性和对磋商文件的响应程度进行审查，以确定是否对磋商文件的实质性要求作出响应。</w:t>
      </w:r>
      <w:r>
        <w:rPr>
          <w:rFonts w:hint="eastAsia" w:ascii="宋体" w:hAnsi="宋体" w:eastAsia="宋体" w:cs="宋体"/>
          <w:b/>
          <w:kern w:val="0"/>
          <w:sz w:val="24"/>
          <w:szCs w:val="24"/>
        </w:rPr>
        <w:t>（详见后附表符合性审查表）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资格性审查和符合性审查中凡有其中任意一项未通过的，评审结果为未通过，未通过资格性审查、符合性审查的投标单位按无</w:t>
      </w:r>
      <w:r>
        <w:rPr>
          <w:rFonts w:hint="eastAsia" w:ascii="宋体" w:hAnsi="宋体" w:eastAsia="宋体" w:cs="宋体"/>
          <w:sz w:val="24"/>
          <w:szCs w:val="24"/>
        </w:rPr>
        <w:t>效投标处理。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2.磋商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（1）磋商小组所有成员应当集中与单一供应商分别进行磋商，并给予所有参加磋商的供应商平等的磋商机会。</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对磋商文件作出的实质性变动是磋商文件的有效组成部分，磋商小组应当及时、同时通知所有参加磋商的供应商。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3.最后报价</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磋商结束后，磋商小组应当要求所有实质性响应的供应商在规定时间内提交最后报价。最后报价是供应商响应文件的有效组成部分。</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已提交响应文件的供应商，在提交最后报价之前，可以根据磋商情况退出磋商。</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4.政府采购政策功能落实</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本项目落实政府采购政策需满足的资格要求：本项目专门面向中小企业，需提供中小企业声明函。</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kern w:val="0"/>
          <w:sz w:val="24"/>
          <w:szCs w:val="24"/>
        </w:rPr>
      </w:pPr>
      <w:r>
        <w:rPr>
          <w:rFonts w:hint="eastAsia" w:ascii="宋体" w:hAnsi="宋体" w:eastAsia="宋体" w:cs="宋体"/>
          <w:b/>
          <w:sz w:val="24"/>
          <w:szCs w:val="24"/>
        </w:rPr>
        <w:t>5.综合评分</w:t>
      </w:r>
      <w:r>
        <w:rPr>
          <w:rFonts w:hint="eastAsia" w:ascii="宋体" w:hAnsi="宋体" w:eastAsia="宋体" w:cs="宋体"/>
          <w:b/>
          <w:kern w:val="0"/>
          <w:sz w:val="24"/>
          <w:szCs w:val="24"/>
        </w:rPr>
        <w:t>（详见后附表详细</w:t>
      </w:r>
      <w:r>
        <w:rPr>
          <w:rFonts w:hint="eastAsia" w:ascii="宋体" w:hAnsi="宋体" w:eastAsia="宋体" w:cs="宋体"/>
          <w:b/>
          <w:kern w:val="0"/>
          <w:sz w:val="24"/>
          <w:szCs w:val="24"/>
          <w:lang w:eastAsia="zh-CN"/>
        </w:rPr>
        <w:t>评审</w:t>
      </w:r>
      <w:r>
        <w:rPr>
          <w:rFonts w:hint="eastAsia" w:ascii="宋体" w:hAnsi="宋体" w:eastAsia="宋体" w:cs="宋体"/>
          <w:b/>
          <w:kern w:val="0"/>
          <w:sz w:val="24"/>
          <w:szCs w:val="24"/>
        </w:rPr>
        <w:t>表）</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由磋商小组采用综合评分法对提交最后报价的供应商的响应文件和最后报价进行综合评分。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6.汇总、排序</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w:t>
      </w:r>
      <w:r>
        <w:rPr>
          <w:rFonts w:hint="eastAsia" w:ascii="宋体" w:hAnsi="宋体" w:cs="宋体"/>
          <w:b w:val="0"/>
          <w:bCs w:val="0"/>
          <w:color w:val="auto"/>
          <w:sz w:val="24"/>
          <w:szCs w:val="24"/>
          <w:highlight w:val="none"/>
          <w:lang w:eastAsia="zh-CN"/>
        </w:rPr>
        <w:t>综合磋商</w:t>
      </w:r>
      <w:r>
        <w:rPr>
          <w:rFonts w:hint="eastAsia" w:ascii="宋体" w:hAnsi="宋体" w:eastAsia="宋体" w:cs="宋体"/>
          <w:b w:val="0"/>
          <w:bCs w:val="0"/>
          <w:color w:val="auto"/>
          <w:sz w:val="24"/>
          <w:szCs w:val="24"/>
          <w:highlight w:val="none"/>
        </w:rPr>
        <w:t>文件授权评审委员会直接确定成交候选供应商外，评审委员会按照得分由高到低的顺序推荐成交候选供应商。</w:t>
      </w:r>
    </w:p>
    <w:p>
      <w:pPr>
        <w:keepNext w:val="0"/>
        <w:keepLines w:val="0"/>
        <w:pageBreakBefore w:val="0"/>
        <w:widowControl/>
        <w:kinsoku/>
        <w:wordWrap/>
        <w:overflowPunct/>
        <w:topLinePunct w:val="0"/>
        <w:bidi w:val="0"/>
        <w:spacing w:line="360" w:lineRule="auto"/>
        <w:ind w:firstLine="480" w:firstLineChars="200"/>
        <w:textAlignment w:val="auto"/>
        <w:rPr>
          <w:rFonts w:ascii="宋体" w:hAnsi="宋体" w:cs="宋体"/>
          <w:sz w:val="24"/>
          <w:szCs w:val="24"/>
        </w:rPr>
      </w:pPr>
      <w:r>
        <w:rPr>
          <w:rFonts w:hint="eastAsia" w:ascii="宋体" w:hAnsi="宋体" w:eastAsia="宋体" w:cs="宋体"/>
          <w:b w:val="0"/>
          <w:bCs w:val="0"/>
          <w:color w:val="auto"/>
          <w:sz w:val="24"/>
          <w:szCs w:val="24"/>
          <w:highlight w:val="none"/>
        </w:rPr>
        <w:t>评审委员会完成评审后，应当向采购人提交书面评审报告。</w:t>
      </w:r>
      <w:r>
        <w:rPr>
          <w:rFonts w:ascii="宋体" w:hAnsi="宋体" w:cs="宋体"/>
          <w:sz w:val="24"/>
          <w:szCs w:val="24"/>
        </w:rPr>
        <w:br w:type="page"/>
      </w:r>
    </w:p>
    <w:p>
      <w:pPr>
        <w:spacing w:line="360" w:lineRule="auto"/>
        <w:rPr>
          <w:rFonts w:hint="eastAsia" w:ascii="宋体" w:hAnsi="宋体" w:eastAsia="宋体" w:cs="宋体"/>
          <w:b/>
          <w:sz w:val="24"/>
          <w:szCs w:val="24"/>
          <w:lang w:val="zh-CN"/>
        </w:rPr>
      </w:pPr>
      <w:r>
        <w:rPr>
          <w:rFonts w:hint="eastAsia" w:ascii="宋体" w:hAnsi="宋体" w:eastAsia="宋体" w:cs="宋体"/>
          <w:b/>
          <w:kern w:val="0"/>
          <w:sz w:val="24"/>
          <w:szCs w:val="24"/>
        </w:rPr>
        <w:t>资格性审查表：</w:t>
      </w:r>
    </w:p>
    <w:tbl>
      <w:tblPr>
        <w:tblStyle w:val="76"/>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0"/>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具有独立承担民事责任的能力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审查投标人有效的营业执照或事业单位法人证书或执业许可证或自然人的身份证明。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具有良好的商业信誉和健全的财务会计制度</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审查投标人2024年度经审计的审计报告或近期内基本户开户行出具的银行资信证明，供应商于2025年成立的，提供基本户开户行出具的银行资信证明。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有依法缴纳税收和社会保障资金的良好记录</w:t>
            </w:r>
          </w:p>
        </w:tc>
        <w:tc>
          <w:tcPr>
            <w:tcW w:w="6519" w:type="dxa"/>
            <w:noWrap w:val="0"/>
            <w:vAlign w:val="center"/>
          </w:tcPr>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供应商应提供递交投标文件截止之日起近一年内任意一个月依法缴纳税收和社会保障资金的良好记录（以银行缴费凭证、税务机关或社保部门提供的凭证或承诺函）</w:t>
            </w:r>
          </w:p>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注：其他组织和自然人也需要提供缴纳税收的凭据金额缴纳社保的凭据。依法免税或不需要缴纳社会保障资金的投标人，应提供相应文件证明其依法免税或不需要缴纳社会保障资金。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具有履行合同所必需的设备和专业技术能力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审查供应商提供的具有履行合同所必需的设备和专业技术能力的证明的书面声明。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参加采购活动前3年内，在经营活动中没有重大违法记录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审查投标人参加本次投标活动前3年内在经营活动中没有重大违法记录的书面声明。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信用记录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开标结束后资格审查时，投标人未被列入失信被执行人、税收违法黑名单、政府采购严重违法失信行为记录名单。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面向中小企业情况审查</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参与的供应商提供的服务全部由符合政策要求的中小企业</w:t>
            </w:r>
          </w:p>
        </w:tc>
      </w:tr>
    </w:tbl>
    <w:p>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spacing w:line="360" w:lineRule="auto"/>
        <w:rPr>
          <w:rFonts w:hint="eastAsia" w:ascii="宋体" w:hAnsi="宋体" w:eastAsia="宋体" w:cs="宋体"/>
          <w:b/>
          <w:kern w:val="0"/>
          <w:sz w:val="24"/>
          <w:szCs w:val="24"/>
          <w:lang w:eastAsia="zh-CN"/>
        </w:rPr>
      </w:pPr>
      <w:r>
        <w:rPr>
          <w:rFonts w:hint="eastAsia" w:ascii="宋体" w:hAnsi="宋体" w:eastAsia="宋体" w:cs="宋体"/>
          <w:b/>
          <w:kern w:val="0"/>
          <w:sz w:val="24"/>
          <w:szCs w:val="24"/>
        </w:rPr>
        <w:t>符合性审查表</w:t>
      </w:r>
      <w:r>
        <w:rPr>
          <w:rFonts w:hint="eastAsia" w:ascii="宋体" w:hAnsi="宋体" w:eastAsia="宋体" w:cs="宋体"/>
          <w:b/>
          <w:kern w:val="0"/>
          <w:sz w:val="24"/>
          <w:szCs w:val="24"/>
          <w:lang w:eastAsia="zh-CN"/>
        </w:rPr>
        <w:t>：</w:t>
      </w:r>
    </w:p>
    <w:tbl>
      <w:tblPr>
        <w:tblStyle w:val="3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服务期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kern w:val="0"/>
                <w:sz w:val="24"/>
                <w:szCs w:val="24"/>
                <w:highlight w:val="none"/>
                <w:lang w:val="en-US"/>
              </w:rPr>
            </w:pPr>
            <w:r>
              <w:rPr>
                <w:rFonts w:hint="eastAsia" w:cs="宋体"/>
                <w:i w:val="0"/>
                <w:iCs w:val="0"/>
                <w:caps w:val="0"/>
                <w:color w:val="383838"/>
                <w:spacing w:val="0"/>
                <w:sz w:val="24"/>
                <w:szCs w:val="24"/>
                <w:shd w:val="clear" w:color="auto"/>
                <w:vertAlign w:val="baseline"/>
                <w:lang w:val="en-US" w:eastAsia="zh-CN"/>
              </w:rPr>
              <w:t>2026年2月1日至2027年1月31日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投标有效期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自递交响应文件截止之日起90日历天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首轮竞价一览表</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承诺书及法人授权委托书</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联合体投标</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本项目不接受联合体投标。（如要求联合体投标，符合本磋商文件对联合体投标的相关要求）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响应文件规范性、符合性</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响应文件的编制、密封、装订、签署、盖章、涂改、删除、插字、公章使用等符合磋商文件要求；响应文件文件的格式、文字、目录、页码等符合磋商文件要求或对投标无实质性影响。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技术部分实质性内容</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服务内容明确（逐一对应）并实质性满足磋商文件要求。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其他要求</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磋商文件要求的其他无效投标情形；围标、串标和法律法规规定的其它无效投标条款。</w:t>
            </w:r>
          </w:p>
        </w:tc>
      </w:tr>
    </w:tbl>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详细评审表：</w:t>
      </w:r>
    </w:p>
    <w:p>
      <w:pPr>
        <w:spacing w:line="520" w:lineRule="exact"/>
        <w:ind w:firstLine="48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4"/>
          <w:szCs w:val="24"/>
          <w:highlight w:val="none"/>
        </w:rPr>
        <w:t>综合评分法：分为投标报价评审、商务部分评审、技术部分评审（得分四舍五入保留两位小数）。</w:t>
      </w:r>
      <w:r>
        <w:rPr>
          <w:rFonts w:hint="eastAsia" w:asciiTheme="minorEastAsia" w:hAnsiTheme="minorEastAsia" w:eastAsiaTheme="minorEastAsia" w:cstheme="minorEastAsia"/>
          <w:sz w:val="21"/>
          <w:szCs w:val="21"/>
          <w:highlight w:val="none"/>
        </w:rPr>
        <w:t xml:space="preserve"> </w:t>
      </w:r>
    </w:p>
    <w:tbl>
      <w:tblPr>
        <w:tblStyle w:val="3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455"/>
        <w:gridCol w:w="870"/>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评审因素</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分值构成</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100</w:t>
            </w:r>
            <w:r>
              <w:rPr>
                <w:rFonts w:hint="eastAsia" w:ascii="宋体" w:hAnsi="宋体" w:eastAsia="宋体" w:cs="宋体"/>
                <w:b/>
                <w:bCs/>
                <w:sz w:val="24"/>
                <w:szCs w:val="24"/>
                <w:highlight w:val="none"/>
                <w:lang w:eastAsia="zh-CN"/>
              </w:rPr>
              <w:t>）</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报价得分</w:t>
            </w:r>
            <w:r>
              <w:rPr>
                <w:rFonts w:hint="eastAsia" w:ascii="宋体" w:hAnsi="宋体" w:eastAsia="宋体" w:cs="宋体"/>
                <w:b/>
                <w:bCs/>
                <w:sz w:val="24"/>
                <w:szCs w:val="24"/>
                <w:highlight w:val="none"/>
                <w:lang w:val="en-US" w:eastAsia="zh-CN"/>
              </w:rPr>
              <w:t>20</w:t>
            </w:r>
            <w:r>
              <w:rPr>
                <w:rFonts w:hint="eastAsia" w:ascii="宋体" w:hAnsi="宋体" w:eastAsia="宋体" w:cs="宋体"/>
                <w:b/>
                <w:bCs/>
                <w:sz w:val="24"/>
                <w:szCs w:val="24"/>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w:t>
            </w:r>
            <w:r>
              <w:rPr>
                <w:rFonts w:hint="eastAsia" w:ascii="宋体" w:hAnsi="宋体" w:eastAsia="宋体" w:cs="宋体"/>
                <w:b/>
                <w:bCs/>
                <w:sz w:val="24"/>
                <w:szCs w:val="24"/>
                <w:highlight w:val="none"/>
                <w:lang w:val="en-US" w:eastAsia="zh-CN"/>
              </w:rPr>
              <w:t>70</w:t>
            </w:r>
            <w:r>
              <w:rPr>
                <w:rFonts w:hint="eastAsia" w:ascii="宋体" w:hAnsi="宋体" w:eastAsia="宋体" w:cs="宋体"/>
                <w:b/>
                <w:bCs/>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000000"/>
                <w:kern w:val="0"/>
                <w:sz w:val="24"/>
                <w:szCs w:val="24"/>
                <w:highlight w:val="none"/>
              </w:rPr>
              <w:t>评分因素</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000000"/>
                <w:kern w:val="0"/>
                <w:sz w:val="24"/>
                <w:szCs w:val="24"/>
                <w:highlight w:val="none"/>
              </w:rPr>
              <w:t>权值</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投标报价得分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1、磋商报价基准价计算方法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全部满足磋商文件要求，且最终响应报价最低的响应报价为基准价</w:t>
            </w:r>
            <w:r>
              <w:rPr>
                <w:rFonts w:hint="eastAsia" w:ascii="宋体" w:hAnsi="宋体" w:eastAsia="宋体" w:cs="宋体"/>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2、报价得分=（评审基准价/最终响应报价）×</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商务部分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业绩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w:t>
            </w:r>
            <w:r>
              <w:rPr>
                <w:rFonts w:hint="eastAsia" w:ascii="宋体" w:hAnsi="宋体" w:eastAsia="宋体" w:cs="宋体"/>
                <w:color w:val="auto"/>
                <w:sz w:val="24"/>
                <w:szCs w:val="24"/>
                <w:highlight w:val="none"/>
              </w:rPr>
              <w:t>至今企业有类似业绩，每有一个得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响应文件中须</w:t>
            </w:r>
            <w:r>
              <w:rPr>
                <w:rFonts w:hint="eastAsia" w:ascii="宋体" w:hAnsi="宋体" w:eastAsia="宋体" w:cs="宋体"/>
                <w:b/>
                <w:bCs/>
                <w:color w:val="auto"/>
                <w:sz w:val="24"/>
                <w:szCs w:val="24"/>
                <w:highlight w:val="none"/>
              </w:rPr>
              <w:t>附中标通知书</w:t>
            </w:r>
            <w:r>
              <w:rPr>
                <w:rFonts w:hint="eastAsia" w:ascii="宋体" w:hAnsi="宋体" w:eastAsia="宋体" w:cs="宋体"/>
                <w:b/>
                <w:bCs/>
                <w:color w:val="auto"/>
                <w:sz w:val="24"/>
                <w:szCs w:val="24"/>
                <w:highlight w:val="none"/>
                <w:lang w:eastAsia="zh-CN"/>
              </w:rPr>
              <w:t>或</w:t>
            </w:r>
            <w:r>
              <w:rPr>
                <w:rFonts w:hint="eastAsia" w:ascii="宋体" w:hAnsi="宋体" w:eastAsia="宋体" w:cs="宋体"/>
                <w:b/>
                <w:bCs/>
                <w:color w:val="auto"/>
                <w:sz w:val="24"/>
                <w:szCs w:val="24"/>
                <w:highlight w:val="none"/>
              </w:rPr>
              <w:t>合同</w:t>
            </w:r>
            <w:r>
              <w:rPr>
                <w:rFonts w:hint="eastAsia" w:ascii="宋体" w:hAnsi="宋体" w:eastAsia="宋体" w:cs="宋体"/>
                <w:b/>
                <w:bCs/>
                <w:color w:val="auto"/>
                <w:sz w:val="24"/>
                <w:szCs w:val="24"/>
                <w:highlight w:val="none"/>
                <w:lang w:val="en-US" w:eastAsia="zh-CN"/>
              </w:rPr>
              <w:t>扫描件，</w:t>
            </w:r>
            <w:r>
              <w:rPr>
                <w:rFonts w:hint="eastAsia" w:ascii="宋体" w:hAnsi="宋体" w:eastAsia="宋体" w:cs="宋体"/>
                <w:b/>
                <w:bCs/>
                <w:color w:val="auto"/>
                <w:sz w:val="24"/>
                <w:szCs w:val="24"/>
                <w:highlight w:val="none"/>
                <w:lang w:eastAsia="zh-CN"/>
              </w:rPr>
              <w:t>否则不得分</w:t>
            </w:r>
            <w:r>
              <w:rPr>
                <w:rFonts w:hint="eastAsia" w:ascii="宋体" w:hAnsi="宋体" w:eastAsia="宋体" w:cs="宋体"/>
                <w:b/>
                <w:bCs/>
                <w:color w:val="auto"/>
                <w:sz w:val="24"/>
                <w:szCs w:val="24"/>
                <w:highlight w:val="none"/>
              </w:rPr>
              <w:t>）</w:t>
            </w:r>
            <w:r>
              <w:rPr>
                <w:rFonts w:hint="eastAsia" w:ascii="宋体" w:hAnsi="宋体" w:eastAsia="宋体" w:cs="宋体"/>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技术部分（70）</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服务方案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所有响应供应商磋商响应文件中提供的服务方案进行评分，内容包括但不限于以下内容：：①落实服务措施、②服务质量保证措施③制定项目服务人员处罚、激励条例，④培训制度，⑤针对节假日、重大活动专项服务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left"/>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项目理解与重难点分析</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根据响应供应商提供的项目理解与重难点分析方案进行评审，内容包括但不限于以下内容：①需求特点，②物业服务重点、难点，并提出解决措施，③制订项目整体管理思路，④制订项目日常管理运作模式，⑤保障方案及实施。</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2、内容完整、有相关内容的阐述且符合项目要求，每小项得1分。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3、内容有缺陷，方案简单，每小项得0.5分。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公共环境卫生清洁服务方案</w:t>
            </w: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根据响应供应商提供的</w:t>
            </w:r>
            <w:r>
              <w:rPr>
                <w:rFonts w:hint="eastAsia" w:ascii="宋体" w:hAnsi="宋体" w:eastAsia="宋体" w:cs="宋体"/>
                <w:sz w:val="24"/>
                <w:szCs w:val="24"/>
                <w:highlight w:val="none"/>
                <w:lang w:eastAsia="zh-CN"/>
              </w:rPr>
              <w:t>公共环境卫生清洁服务</w:t>
            </w:r>
            <w:r>
              <w:rPr>
                <w:rFonts w:hint="eastAsia" w:ascii="宋体" w:hAnsi="宋体" w:eastAsia="宋体" w:cs="宋体"/>
                <w:sz w:val="24"/>
                <w:szCs w:val="24"/>
                <w:highlight w:val="none"/>
                <w:lang w:val="en-US" w:eastAsia="zh-CN"/>
              </w:rPr>
              <w:t>方案进行评审，内容包括但不限于以下内容：</w:t>
            </w:r>
            <w:r>
              <w:rPr>
                <w:rFonts w:hint="eastAsia" w:ascii="宋体" w:hAnsi="宋体" w:eastAsia="宋体" w:cs="宋体"/>
                <w:sz w:val="24"/>
                <w:szCs w:val="24"/>
                <w:highlight w:val="none"/>
                <w:lang w:eastAsia="zh-CN"/>
              </w:rPr>
              <w:t>①管理思路，②管理标准，③解决措施，④清洁工作操作规范，⑤特殊区域操作规程，⑥安全作业注意事项。</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2、内容完整、有相关内容的阐述且符合项目要求，每小项得1分。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3、内容有缺陷，方案简单，每小项得0.5分。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团队配备</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根据响应供应商提供的人员团队配备进行评审，内容包括但不限于以下内容：①人员配备完善；②各类服务人员的培训方案；③各类服务人员的管理方案 ;④各类服务人员的考核方案。</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1、内容完整、与项目需求吻合、思路清晰、层次细化，有具体详细的阐述且符合项目要求的，每小项得3分。</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2、内容完整、有相关内容的阐述且符合项目要求，每小项得2分。</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3、内容有缺陷，方案简单，每小项得1分。</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应急预案</w:t>
            </w: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18</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根据响应供应商提供的</w:t>
            </w:r>
            <w:r>
              <w:rPr>
                <w:rFonts w:hint="eastAsia" w:ascii="宋体" w:hAnsi="宋体" w:eastAsia="宋体" w:cs="宋体"/>
                <w:sz w:val="24"/>
                <w:szCs w:val="24"/>
                <w:highlight w:val="none"/>
                <w:lang w:eastAsia="zh-CN"/>
              </w:rPr>
              <w:t>应急预案</w:t>
            </w:r>
            <w:r>
              <w:rPr>
                <w:rFonts w:hint="eastAsia" w:ascii="宋体" w:hAnsi="宋体" w:eastAsia="宋体" w:cs="宋体"/>
                <w:kern w:val="2"/>
                <w:sz w:val="24"/>
                <w:szCs w:val="24"/>
                <w:highlight w:val="none"/>
                <w:lang w:val="en-US" w:eastAsia="zh-CN" w:bidi="ar-SA"/>
              </w:rPr>
              <w:t>进行评审，内容包括但不限于以下内容：</w:t>
            </w:r>
            <w:r>
              <w:rPr>
                <w:rFonts w:hint="eastAsia" w:ascii="宋体" w:hAnsi="宋体" w:eastAsia="宋体" w:cs="宋体"/>
                <w:sz w:val="24"/>
                <w:szCs w:val="24"/>
                <w:highlight w:val="none"/>
                <w:lang w:eastAsia="zh-CN"/>
              </w:rPr>
              <w:t>①突发事件综合处置预案，②重要活动后勤保障应急预案，③雨雪强风极端天气应急预案，④突发公共事件应急预案，⑤重大故障应急预案，⑥专项应急措施。</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1、内容完整、与项目需求吻合、思路清晰、层次细化，有具体详细的阐述且符合项目要求的，每小项得3分。</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2、内容完整、有相关内容的阐述且符合项目要求，每小项得2分。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3、内容有缺陷，方案简单，每小项得1分。</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承诺</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响应供应商提供的服务承诺进行评审，内容包括但不限于以下内容：：①售后服务承诺内容全面，服务体系详尽、合理；②人员管理制度完善、合理；③设施、设备专业化程度；④因自身而发生不良后果责任承诺和自罚承诺；</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1、内容完整、与项目需求吻合、思路清晰、层次细化，有具体详细的阐述且符合项目要求的，每小项得2分。</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2、内容完整、有相关内容的阐述且符合项目要求，每小项得1分。</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3、内容有缺陷，方案简单，每小项得0.5分。</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4、未提供不得分。</w:t>
            </w:r>
          </w:p>
        </w:tc>
      </w:tr>
    </w:tbl>
    <w:p>
      <w:pPr>
        <w:rPr>
          <w:rFonts w:hint="eastAsia" w:ascii="宋体" w:hAnsi="宋体"/>
          <w:sz w:val="24"/>
          <w:szCs w:val="24"/>
        </w:rPr>
      </w:pPr>
      <w:r>
        <w:rPr>
          <w:rFonts w:hint="eastAsia" w:ascii="宋体" w:hAnsi="宋体"/>
          <w:sz w:val="24"/>
          <w:szCs w:val="24"/>
        </w:rPr>
        <w:br w:type="page"/>
      </w:r>
    </w:p>
    <w:p>
      <w:pPr>
        <w:pStyle w:val="29"/>
        <w:shd w:val="clear"/>
        <w:spacing w:line="360" w:lineRule="auto"/>
        <w:rPr>
          <w:rFonts w:hint="eastAsia" w:ascii="宋体" w:hAnsi="宋体" w:eastAsia="宋体"/>
          <w:bCs w:val="0"/>
          <w:kern w:val="2"/>
          <w:sz w:val="28"/>
          <w:szCs w:val="28"/>
          <w:lang w:val="zh-CN"/>
        </w:rPr>
      </w:pPr>
      <w:bookmarkStart w:id="35" w:name="_Toc2017"/>
      <w:r>
        <w:rPr>
          <w:rFonts w:hint="eastAsia" w:ascii="宋体" w:hAnsi="宋体" w:eastAsia="宋体"/>
          <w:bCs w:val="0"/>
          <w:kern w:val="2"/>
          <w:sz w:val="28"/>
          <w:szCs w:val="28"/>
          <w:lang w:val="en-US" w:eastAsia="zh-CN"/>
        </w:rPr>
        <w:t xml:space="preserve">第六章 </w:t>
      </w:r>
      <w:bookmarkEnd w:id="31"/>
      <w:bookmarkEnd w:id="32"/>
      <w:bookmarkEnd w:id="35"/>
      <w:r>
        <w:rPr>
          <w:rFonts w:hint="eastAsia" w:ascii="宋体" w:hAnsi="宋体" w:eastAsia="宋体"/>
          <w:bCs w:val="0"/>
          <w:kern w:val="2"/>
          <w:sz w:val="28"/>
          <w:szCs w:val="28"/>
          <w:lang w:val="zh-CN"/>
        </w:rPr>
        <w:t>合同与验收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bookmarkStart w:id="36" w:name="_Toc32612"/>
      <w:bookmarkStart w:id="37" w:name="_Toc24209"/>
      <w:r>
        <w:rPr>
          <w:rFonts w:hint="eastAsia" w:ascii="宋体" w:hAnsi="宋体" w:eastAsia="宋体" w:cs="宋体"/>
          <w:color w:val="222222"/>
          <w:spacing w:val="7"/>
          <w:sz w:val="24"/>
          <w:szCs w:val="24"/>
          <w:lang w:val="en-US" w:eastAsia="zh-CN"/>
        </w:rPr>
        <w:t>一</w:t>
      </w:r>
      <w:r>
        <w:rPr>
          <w:rFonts w:ascii="宋体" w:hAnsi="宋体" w:eastAsia="宋体" w:cs="宋体"/>
          <w:color w:val="222222"/>
          <w:spacing w:val="7"/>
          <w:sz w:val="24"/>
          <w:szCs w:val="24"/>
          <w:lang w:val="en-US" w:eastAsia="zh-CN"/>
        </w:rPr>
        <w:t>.</w:t>
      </w:r>
      <w:r>
        <w:rPr>
          <w:rFonts w:hint="eastAsia" w:ascii="宋体" w:hAnsi="宋体" w:eastAsia="宋体" w:cs="宋体"/>
          <w:color w:val="222222"/>
          <w:spacing w:val="7"/>
          <w:sz w:val="24"/>
          <w:szCs w:val="24"/>
          <w:lang w:val="en-US" w:eastAsia="zh-CN"/>
        </w:rPr>
        <w:t xml:space="preserve">合同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lang w:val="en-US" w:eastAsia="zh-CN"/>
        </w:rPr>
        <w:t>1.</w:t>
      </w:r>
      <w:r>
        <w:rPr>
          <w:rFonts w:hint="eastAsia" w:ascii="宋体" w:hAnsi="宋体" w:eastAsia="宋体" w:cs="宋体"/>
          <w:color w:val="222222"/>
          <w:spacing w:val="7"/>
          <w:sz w:val="24"/>
          <w:szCs w:val="24"/>
          <w:lang w:val="en-US" w:eastAsia="zh-CN"/>
        </w:rPr>
        <w:t xml:space="preserve">合同要求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hint="default" w:ascii="宋体" w:hAnsi="宋体" w:eastAsia="宋体" w:cs="宋体"/>
          <w:color w:val="222222"/>
          <w:spacing w:val="7"/>
          <w:sz w:val="24"/>
          <w:szCs w:val="24"/>
          <w:lang w:val="en-US" w:eastAsia="zh-CN"/>
        </w:rPr>
        <w:t>1.1</w:t>
      </w:r>
      <w:r>
        <w:rPr>
          <w:rFonts w:hint="eastAsia" w:ascii="宋体" w:hAnsi="宋体" w:eastAsia="宋体" w:cs="宋体"/>
          <w:color w:val="222222"/>
          <w:spacing w:val="7"/>
          <w:sz w:val="24"/>
          <w:szCs w:val="24"/>
          <w:lang w:val="en-US" w:eastAsia="zh-CN"/>
        </w:rPr>
        <w:t>采购人应当自中标（成交）通知书发出之日起</w:t>
      </w:r>
      <w:r>
        <w:rPr>
          <w:rFonts w:hint="default" w:ascii="宋体" w:hAnsi="宋体" w:eastAsia="宋体" w:cs="宋体"/>
          <w:color w:val="222222"/>
          <w:spacing w:val="7"/>
          <w:sz w:val="24"/>
          <w:szCs w:val="24"/>
          <w:lang w:val="en-US" w:eastAsia="zh-CN"/>
        </w:rPr>
        <w:t>30</w:t>
      </w:r>
      <w:r>
        <w:rPr>
          <w:rFonts w:hint="eastAsia" w:ascii="宋体" w:hAnsi="宋体" w:eastAsia="宋体" w:cs="宋体"/>
          <w:color w:val="222222"/>
          <w:spacing w:val="7"/>
          <w:sz w:val="24"/>
          <w:szCs w:val="24"/>
          <w:lang w:val="en-US" w:eastAsia="zh-CN"/>
        </w:rPr>
        <w:t>日内，按照</w:t>
      </w:r>
      <w:r>
        <w:rPr>
          <w:rFonts w:hint="eastAsia" w:ascii="宋体" w:hAnsi="宋体" w:cs="宋体"/>
          <w:color w:val="222222"/>
          <w:spacing w:val="7"/>
          <w:sz w:val="24"/>
          <w:szCs w:val="24"/>
          <w:lang w:val="en-US" w:eastAsia="zh-CN"/>
        </w:rPr>
        <w:t>综合</w:t>
      </w:r>
      <w:r>
        <w:rPr>
          <w:rFonts w:hint="eastAsia" w:ascii="宋体" w:hAnsi="宋体" w:eastAsia="宋体" w:cs="宋体"/>
          <w:color w:val="222222"/>
          <w:spacing w:val="7"/>
          <w:sz w:val="24"/>
          <w:szCs w:val="24"/>
          <w:lang w:val="en-US" w:eastAsia="zh-CN"/>
        </w:rPr>
        <w:t>磋商文件和中标（成交）供应商响应文件的规定，与中标（成交）供应商签订书面合同。所签订的合同不得对</w:t>
      </w:r>
      <w:r>
        <w:rPr>
          <w:rFonts w:hint="eastAsia" w:ascii="宋体" w:hAnsi="宋体" w:cs="宋体"/>
          <w:color w:val="222222"/>
          <w:spacing w:val="7"/>
          <w:sz w:val="24"/>
          <w:szCs w:val="24"/>
          <w:lang w:val="en-US" w:eastAsia="zh-CN"/>
        </w:rPr>
        <w:t>综合</w:t>
      </w:r>
      <w:r>
        <w:rPr>
          <w:rFonts w:hint="eastAsia" w:ascii="宋体" w:hAnsi="宋体" w:eastAsia="宋体" w:cs="宋体"/>
          <w:color w:val="222222"/>
          <w:spacing w:val="7"/>
          <w:sz w:val="24"/>
          <w:szCs w:val="24"/>
          <w:lang w:val="en-US" w:eastAsia="zh-CN"/>
        </w:rPr>
        <w:t xml:space="preserve">磋商文件确定的事项作实质性修改。采购人、供应商不得提出任何不合理的要求作为签订合同的条件。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hint="default" w:ascii="宋体" w:hAnsi="宋体" w:eastAsia="宋体" w:cs="宋体"/>
          <w:color w:val="222222"/>
          <w:spacing w:val="7"/>
          <w:sz w:val="24"/>
          <w:szCs w:val="24"/>
          <w:lang w:val="en-US" w:eastAsia="zh-CN"/>
        </w:rPr>
        <w:t>1.</w:t>
      </w:r>
      <w:r>
        <w:rPr>
          <w:rFonts w:hint="eastAsia" w:ascii="宋体" w:hAnsi="宋体" w:cs="宋体"/>
          <w:color w:val="222222"/>
          <w:spacing w:val="7"/>
          <w:sz w:val="24"/>
          <w:szCs w:val="24"/>
          <w:lang w:val="en-US" w:eastAsia="zh-CN"/>
        </w:rPr>
        <w:t>2</w:t>
      </w:r>
      <w:r>
        <w:rPr>
          <w:rFonts w:hint="eastAsia" w:ascii="宋体" w:hAnsi="宋体" w:eastAsia="宋体" w:cs="宋体"/>
          <w:color w:val="222222"/>
          <w:spacing w:val="7"/>
          <w:sz w:val="24"/>
          <w:szCs w:val="24"/>
          <w:lang w:val="en-US" w:eastAsia="zh-CN"/>
        </w:rPr>
        <w:t>采购人与中标（成交）供应商应当根据合同的约定依法履行合同义务。采购合同的履行、违约责任和解决争议的方法等适用《中华人民共和国民法典》。采购合同的双方当事人不得擅自变更、中止或者终止合同。</w:t>
      </w:r>
    </w:p>
    <w:p>
      <w:pPr>
        <w:rPr>
          <w:rFonts w:ascii="宋体" w:hAnsi="宋体" w:eastAsia="宋体" w:cs="宋体"/>
          <w:color w:val="222222"/>
          <w:spacing w:val="9"/>
          <w:sz w:val="26"/>
          <w:szCs w:val="26"/>
          <w14:textOutline w14:w="4889" w14:cap="sq" w14:cmpd="sng">
            <w14:solidFill>
              <w14:srgbClr w14:val="222222"/>
            </w14:solidFill>
            <w14:prstDash w14:val="solid"/>
            <w14:bevel/>
          </w14:textOutline>
        </w:rPr>
      </w:pPr>
      <w:r>
        <w:rPr>
          <w:rFonts w:ascii="宋体" w:hAnsi="宋体" w:eastAsia="宋体" w:cs="宋体"/>
          <w:color w:val="222222"/>
          <w:spacing w:val="9"/>
          <w:sz w:val="26"/>
          <w:szCs w:val="26"/>
          <w14:textOutline w14:w="4889" w14:cap="sq" w14:cmpd="sng">
            <w14:solidFill>
              <w14:srgbClr w14:val="222222"/>
            </w14:solidFill>
            <w14:prstDash w14:val="solid"/>
            <w14:bevel/>
          </w14:textOutline>
        </w:rPr>
        <w:br w:type="page"/>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222222"/>
          <w:spacing w:val="9"/>
          <w:sz w:val="26"/>
          <w:szCs w:val="26"/>
          <w14:textOutline w14:w="4889" w14:cap="sq" w14:cmpd="sng">
            <w14:solidFill>
              <w14:srgbClr w14:val="222222"/>
            </w14:solidFill>
            <w14:prstDash w14:val="solid"/>
            <w14:bevel/>
          </w14:textOutline>
        </w:rPr>
      </w:pPr>
      <w:r>
        <w:rPr>
          <w:rFonts w:ascii="宋体" w:hAnsi="宋体" w:eastAsia="宋体" w:cs="宋体"/>
          <w:color w:val="222222"/>
          <w:spacing w:val="9"/>
          <w:sz w:val="26"/>
          <w:szCs w:val="26"/>
          <w14:textOutline w14:w="4889" w14:cap="sq" w14:cmpd="sng">
            <w14:solidFill>
              <w14:srgbClr w14:val="222222"/>
            </w14:solidFill>
            <w14:prstDash w14:val="solid"/>
            <w14:bevel/>
          </w14:textOutline>
        </w:rPr>
        <w:t>(服务类合同参考文本)</w:t>
      </w:r>
    </w:p>
    <w:p>
      <w:pPr>
        <w:keepNext w:val="0"/>
        <w:keepLines w:val="0"/>
        <w:pageBreakBefore w:val="0"/>
        <w:widowControl w:val="0"/>
        <w:kinsoku/>
        <w:wordWrap/>
        <w:overflowPunct/>
        <w:topLinePunct w:val="0"/>
        <w:autoSpaceDE/>
        <w:autoSpaceDN/>
        <w:bidi w:val="0"/>
        <w:adjustRightInd/>
        <w:snapToGrid/>
        <w:spacing w:line="240" w:lineRule="auto"/>
        <w:ind w:left="0" w:leftChars="0" w:hanging="6" w:firstLineChars="0"/>
        <w:jc w:val="center"/>
        <w:textAlignment w:val="auto"/>
        <w:rPr>
          <w:rFonts w:ascii="宋体" w:hAnsi="宋体" w:eastAsia="宋体" w:cs="宋体"/>
          <w:sz w:val="26"/>
          <w:szCs w:val="26"/>
        </w:rPr>
      </w:pPr>
      <w:r>
        <w:rPr>
          <w:rFonts w:hint="eastAsia" w:ascii="宋体" w:hAnsi="宋体" w:eastAsia="宋体" w:cs="宋体"/>
          <w:color w:val="222222"/>
          <w:spacing w:val="9"/>
          <w:sz w:val="26"/>
          <w:szCs w:val="26"/>
          <w:lang w:val="en-US" w:eastAsia="zh-CN"/>
          <w14:textOutline w14:w="4889" w14:cap="sq" w14:cmpd="sng">
            <w14:solidFill>
              <w14:srgbClr w14:val="222222"/>
            </w14:solidFill>
            <w14:prstDash w14:val="solid"/>
            <w14:bevel/>
          </w14:textOutline>
        </w:rPr>
        <w:t xml:space="preserve">                                    </w:t>
      </w:r>
      <w:r>
        <w:rPr>
          <w:rFonts w:ascii="宋体" w:hAnsi="宋体" w:eastAsia="宋体" w:cs="宋体"/>
          <w:color w:val="222222"/>
          <w:spacing w:val="9"/>
          <w:sz w:val="26"/>
          <w:szCs w:val="26"/>
          <w14:textOutline w14:w="4889" w14:cap="sq" w14:cmpd="sng">
            <w14:solidFill>
              <w14:srgbClr w14:val="222222"/>
            </w14:solidFill>
            <w14:prstDash w14:val="solid"/>
            <w14:bevel/>
          </w14:textOutline>
        </w:rPr>
        <w:t>合同编号：</w:t>
      </w:r>
    </w:p>
    <w:p>
      <w:pPr>
        <w:spacing w:before="20" w:line="525" w:lineRule="exact"/>
        <w:ind w:left="595"/>
        <w:rPr>
          <w:rFonts w:ascii="宋体" w:hAnsi="宋体" w:eastAsia="宋体" w:cs="宋体"/>
          <w:sz w:val="24"/>
          <w:szCs w:val="24"/>
        </w:rPr>
      </w:pPr>
      <w:r>
        <w:rPr>
          <w:rFonts w:ascii="宋体" w:hAnsi="宋体" w:eastAsia="宋体" w:cs="宋体"/>
          <w:color w:val="222222"/>
          <w:spacing w:val="10"/>
          <w:position w:val="19"/>
          <w:sz w:val="24"/>
          <w:szCs w:val="24"/>
          <w14:textOutline w14:w="4889" w14:cap="sq" w14:cmpd="sng">
            <w14:solidFill>
              <w14:srgbClr w14:val="222222"/>
            </w14:solidFill>
            <w14:prstDash w14:val="solid"/>
            <w14:bevel/>
          </w14:textOutline>
        </w:rPr>
        <w:t>甲方</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 xml:space="preserve"> </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填写采购单位名称</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spacing w:before="210" w:line="526" w:lineRule="exact"/>
        <w:ind w:left="583"/>
        <w:rPr>
          <w:rFonts w:ascii="宋体" w:hAnsi="宋体" w:eastAsia="宋体" w:cs="宋体"/>
          <w:sz w:val="24"/>
          <w:szCs w:val="24"/>
        </w:rPr>
      </w:pP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乙方：***</w:t>
      </w:r>
      <w:r>
        <w:rPr>
          <w:rFonts w:ascii="宋体" w:hAnsi="宋体" w:eastAsia="宋体" w:cs="宋体"/>
          <w:color w:val="222222"/>
          <w:spacing w:val="7"/>
          <w:position w:val="19"/>
          <w:sz w:val="24"/>
          <w:szCs w:val="24"/>
        </w:rPr>
        <w:t xml:space="preserve"> </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7"/>
          <w:position w:val="19"/>
          <w:sz w:val="24"/>
          <w:szCs w:val="24"/>
        </w:rPr>
        <w:t>填写中标、成交供应商名称</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39" w:firstLineChars="244"/>
        <w:textAlignment w:val="auto"/>
        <w:rPr>
          <w:rFonts w:ascii="宋体" w:hAnsi="宋体" w:eastAsia="宋体" w:cs="宋体"/>
          <w:color w:val="222222"/>
          <w:spacing w:val="7"/>
          <w:sz w:val="24"/>
          <w:szCs w:val="24"/>
        </w:rPr>
      </w:pPr>
      <w:r>
        <w:rPr>
          <w:rFonts w:ascii="宋体" w:hAnsi="宋体" w:eastAsia="宋体" w:cs="宋体"/>
          <w:color w:val="222222"/>
          <w:spacing w:val="11"/>
          <w:sz w:val="24"/>
          <w:szCs w:val="24"/>
        </w:rPr>
        <w:t>甲</w:t>
      </w:r>
      <w:r>
        <w:rPr>
          <w:rFonts w:ascii="宋体" w:hAnsi="宋体" w:eastAsia="宋体" w:cs="宋体"/>
          <w:color w:val="222222"/>
          <w:spacing w:val="6"/>
          <w:sz w:val="24"/>
          <w:szCs w:val="24"/>
        </w:rPr>
        <w:t>乙双方根据《中华人民共和国政府采购法》《中华人民共和国政府</w:t>
      </w:r>
      <w:r>
        <w:rPr>
          <w:rFonts w:ascii="宋体" w:hAnsi="宋体" w:eastAsia="宋体" w:cs="宋体"/>
          <w:color w:val="222222"/>
          <w:sz w:val="24"/>
          <w:szCs w:val="24"/>
        </w:rPr>
        <w:t xml:space="preserve"> </w:t>
      </w:r>
      <w:r>
        <w:rPr>
          <w:rFonts w:ascii="宋体" w:hAnsi="宋体" w:eastAsia="宋体" w:cs="宋体"/>
          <w:color w:val="222222"/>
          <w:spacing w:val="14"/>
          <w:sz w:val="24"/>
          <w:szCs w:val="24"/>
        </w:rPr>
        <w:t>采购法</w:t>
      </w:r>
      <w:r>
        <w:rPr>
          <w:rFonts w:ascii="宋体" w:hAnsi="宋体" w:eastAsia="宋体" w:cs="宋体"/>
          <w:color w:val="222222"/>
          <w:spacing w:val="7"/>
          <w:sz w:val="24"/>
          <w:szCs w:val="24"/>
        </w:rPr>
        <w:t>实施条例》《中华人民共和国民法典》等相关法律法规、规范性文件</w:t>
      </w:r>
      <w:r>
        <w:rPr>
          <w:rFonts w:ascii="宋体" w:hAnsi="宋体" w:eastAsia="宋体" w:cs="宋体"/>
          <w:color w:val="222222"/>
          <w:sz w:val="24"/>
          <w:szCs w:val="24"/>
        </w:rPr>
        <w:t xml:space="preserve"> </w:t>
      </w:r>
      <w:r>
        <w:rPr>
          <w:rFonts w:ascii="宋体" w:hAnsi="宋体" w:eastAsia="宋体" w:cs="宋体"/>
          <w:color w:val="222222"/>
          <w:spacing w:val="10"/>
          <w:sz w:val="24"/>
          <w:szCs w:val="24"/>
        </w:rPr>
        <w:t>以及</w:t>
      </w:r>
      <w:r>
        <w:rPr>
          <w:rFonts w:ascii="宋体" w:hAnsi="宋体" w:eastAsia="宋体" w:cs="宋体"/>
          <w:color w:val="222222"/>
          <w:spacing w:val="7"/>
          <w:sz w:val="24"/>
          <w:szCs w:val="24"/>
          <w:u w:val="single" w:color="auto"/>
        </w:rPr>
        <w:t xml:space="preserve"> </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项目 (填写项目名称)</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(填写政府采购项目</w:t>
      </w:r>
      <w:r>
        <w:rPr>
          <w:rFonts w:ascii="宋体" w:hAnsi="宋体" w:eastAsia="宋体" w:cs="宋体"/>
          <w:color w:val="222222"/>
          <w:sz w:val="24"/>
          <w:szCs w:val="24"/>
        </w:rPr>
        <w:t xml:space="preserve"> </w:t>
      </w:r>
      <w:r>
        <w:rPr>
          <w:rFonts w:ascii="宋体" w:hAnsi="宋体" w:eastAsia="宋体" w:cs="宋体"/>
          <w:color w:val="222222"/>
          <w:spacing w:val="12"/>
          <w:sz w:val="24"/>
          <w:szCs w:val="24"/>
        </w:rPr>
        <w:t>编号</w:t>
      </w:r>
      <w:r>
        <w:rPr>
          <w:rFonts w:ascii="宋体" w:hAnsi="宋体" w:eastAsia="宋体" w:cs="宋体"/>
          <w:color w:val="222222"/>
          <w:spacing w:val="6"/>
          <w:sz w:val="24"/>
          <w:szCs w:val="24"/>
        </w:rPr>
        <w:t>) 的中标 (成交) 结果、招标 (磋商、谈判) 文件、投标 (响</w:t>
      </w:r>
      <w:r>
        <w:rPr>
          <w:rFonts w:ascii="宋体" w:hAnsi="宋体" w:eastAsia="宋体" w:cs="宋体"/>
          <w:color w:val="222222"/>
          <w:spacing w:val="7"/>
          <w:sz w:val="24"/>
          <w:szCs w:val="24"/>
        </w:rPr>
        <w:t>应) 文件 等文件的相关内容，经平等自愿协商一致，就如下合同条款达成一致意见。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一、乙方向甲方提供的服务内容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4" w:firstLineChars="244"/>
        <w:textAlignment w:val="auto"/>
        <w:rPr>
          <w:rFonts w:ascii="宋体" w:hAnsi="宋体" w:eastAsia="宋体" w:cs="宋体"/>
          <w:color w:val="222222"/>
          <w:spacing w:val="6"/>
          <w:position w:val="19"/>
          <w:sz w:val="24"/>
          <w:szCs w:val="24"/>
          <w:u w:val="single"/>
        </w:rPr>
      </w:pPr>
      <w:r>
        <w:rPr>
          <w:rFonts w:ascii="宋体" w:hAnsi="宋体" w:eastAsia="宋体" w:cs="宋体"/>
          <w:color w:val="222222"/>
          <w:spacing w:val="6"/>
          <w:position w:val="19"/>
          <w:sz w:val="24"/>
          <w:szCs w:val="24"/>
        </w:rPr>
        <w:t>( 一) 根据招标 (磋商、谈判) 文件及中标 (成交) 结果公告，乙方向甲方提供的服务、货物 (如有) 内容如下：</w:t>
      </w:r>
      <w:r>
        <w:rPr>
          <w:rFonts w:ascii="宋体" w:hAnsi="宋体" w:eastAsia="宋体" w:cs="宋体"/>
          <w:color w:val="222222"/>
          <w:spacing w:val="6"/>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 服务项目名称、服务具体内容、服务方式、服务要求、服务成果 及与之相关的货物等详细内容，见合同附件—服务清单。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二、乙方服务成果的交付时间、地点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 一) 服务期限：</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(二) 服务成果的交付时间和交付要求 (如有) ：</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(三) 服务地点：</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(填写详细地址)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(四) 乙方代表及联系电话：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(五) 甲方代表及联系电话：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注：服务成果分阶段交付的，应分别列明各阶段的交付时间、交付内容。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三、乙方提供服务成果的质量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乙方提供的服务应同时满足：1.符合国家法律法规和规范性文件 对服务质量的要求；2.符合甲方招标 (磋商、谈判)文件对服务的质量要求； 3.符合乙方在投标 (响应) 文件中或磋商、谈判过程中对服务质量作出的书 面承诺、声明或保证。上述质量要求作为甲方对乙方服务质量的验收依据。</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乙方应根据国家法律法规和规范性文件的规定、招标 (磋商、谈 判) 文件的相关要求、投标 (响应)文件及乙方承诺、声明或保证，向甲方 提供相应的服务质量证明文件。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四、乙方服务成果的交付方式及载体</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乙方交付服务成果方式及载体应符合国家法律法规和规范性文件的要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求，并符合甲方招标(磋商、谈判) 文件的要求、乙方在投标 (响应) 文件中对服务成果交付方式及载体作出的承诺。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五、甲方对乙方服务的监督</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甲方对乙方提供的服务有权进行监督，当乙方服务质量、服务内容不符合约定时，甲方有权要求乙方及时进行整改，对乙方拒不改正或整改不到位的， 甲方有权随时解除合同，并根据具体情况扣除部分或全部服务费用。</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六、合同金额</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419" w:firstLineChars="165"/>
        <w:jc w:val="distribute"/>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在乙方提供完全符合合同要求的服务的前提下，本合同总金额为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0" w:firstLineChars="0"/>
        <w:textAlignment w:val="auto"/>
        <w:rPr>
          <w:rFonts w:ascii="宋体" w:hAnsi="宋体" w:eastAsia="宋体" w:cs="宋体"/>
          <w:color w:val="222222"/>
          <w:spacing w:val="7"/>
          <w:sz w:val="24"/>
          <w:szCs w:val="24"/>
        </w:rPr>
      </w:pPr>
      <w:r>
        <w:rPr>
          <w:rFonts w:hint="eastAsia" w:ascii="宋体" w:hAnsi="宋体" w:eastAsia="宋体" w:cs="宋体"/>
          <w:color w:val="222222"/>
          <w:spacing w:val="7"/>
          <w:sz w:val="24"/>
          <w:szCs w:val="24"/>
          <w:u w:val="single"/>
          <w:lang w:val="en-US" w:eastAsia="zh-CN"/>
        </w:rPr>
        <w:t xml:space="preserve">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元 (小写)</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(大写)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七、付款时间及条件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pPr>
      <w:r>
        <w:rPr>
          <w:rFonts w:hint="eastAsia" w:ascii="宋体" w:hAnsi="宋体" w:eastAsia="宋体" w:cs="宋体"/>
          <w:color w:val="222222"/>
          <w:spacing w:val="7"/>
          <w:sz w:val="24"/>
          <w:szCs w:val="24"/>
        </w:rPr>
        <w:t>(一) 付款时间：</w:t>
      </w:r>
      <w:r>
        <w:rPr>
          <w:rFonts w:hint="eastAsia"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rP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付款条件：</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乙方账户信息</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乙方名称：</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开户银行：</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u w:val="single"/>
        </w:rPr>
      </w:pPr>
      <w:r>
        <w:rPr>
          <w:rFonts w:ascii="宋体" w:hAnsi="宋体" w:eastAsia="宋体" w:cs="宋体"/>
          <w:color w:val="222222"/>
          <w:spacing w:val="7"/>
          <w:sz w:val="24"/>
          <w:szCs w:val="24"/>
        </w:rPr>
        <w:t>银行账号：</w:t>
      </w:r>
      <w:r>
        <w:rPr>
          <w:rFonts w:hint="eastAsia" w:ascii="宋体" w:hAnsi="宋体" w:eastAsia="宋体" w:cs="宋体"/>
          <w:color w:val="222222"/>
          <w:spacing w:val="7"/>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八、知识产权</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乙方应保证其提供的服务及服务成果的全部及部分，均不存在侵犯第三 方知识产权的情形，其服务成果的所有权由甲方享有。否则，乙方应向甲方 承担违约责任及赔偿由此给甲方造成的名誉及经济损失。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九、违约条款</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一) 甲方没有正当理由逾期支付合同款项的，每延期一日，甲方应按照逾期支付金额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承担违约责任。延期达到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 xml:space="preserve"> 日，乙方有 权解除合同，并要求甲方赔偿由此造成的经济损失。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甲方存在其他违反本合同的行为，应承担相应的违约责任(注： 可以根据情况进行细化)；违约金不足以赔偿乙方损失的，乙方有权要求甲 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乙方逾期提供服务成果的，每延期一日，乙方应按照合同总金额的</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承担违约责任。延期达到</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日，甲方有权解除合同，拒付延期部分的相应服务款项，并要求乙方赔偿甲方的经济损失。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(四)乙方交付的服务不符合质量要求，或其服务成果存在侵权行为的， 甲方有权解除合同，并要求乙方支付合同总金额</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rPr>
        <w:t>%的违约金，违约金不足以赔偿甲方损失的，甲方有权要求乙方赔偿经济损失。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 乙方在参与本项目采购活动过程中，如存在提供虚假承诺、证明、 串通投标等违法违规行为，除承担相应的行政责任外， 甲方有权解除合同，并要求乙方承担合同总金额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%的违约金，违约金不足以赔偿甲方损失的， 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 乙方存在其他违反本合同的行为，应承担相应的违约责任 (注： 可以根据情况进行细化)；违约金不足以赔偿甲方损失的，甲方有权要求乙 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十、不可抗力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因不可抗力致使一方不能及时或完全履行合同的，应及时通知另一方， 双方互不承担责任，并在</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天内提供有关不可抗力的相关证明。合同未 履行部分是否继续履行、如何履行等问题，由双方协商解决。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十一、争议的解决方式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合同发生纠纷时，双方应协商解决，协商不成，可以采用下列方式解决：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提交</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仲裁委员会仲裁。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向</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人民法院起诉。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十二、合同保存</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合同文本一式</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份，采购单位、中标 (成交) 供应商、采购代理机构、</w:t>
      </w:r>
      <w:r>
        <w:rPr>
          <w:rFonts w:ascii="宋体" w:hAnsi="宋体" w:eastAsia="宋体" w:cs="宋体"/>
          <w:color w:val="222222"/>
          <w:spacing w:val="7"/>
          <w:sz w:val="24"/>
          <w:szCs w:val="24"/>
        </w:rPr>
        <w:drawing>
          <wp:inline distT="0" distB="0" distL="0" distR="0">
            <wp:extent cx="1905" cy="6985"/>
            <wp:effectExtent l="0" t="0" r="0" b="0"/>
            <wp:docPr id="10" name="IM 1"/>
            <wp:cNvGraphicFramePr/>
            <a:graphic xmlns:a="http://schemas.openxmlformats.org/drawingml/2006/main">
              <a:graphicData uri="http://schemas.openxmlformats.org/drawingml/2006/picture">
                <pic:pic xmlns:pic="http://schemas.openxmlformats.org/drawingml/2006/picture">
                  <pic:nvPicPr>
                    <pic:cNvPr id="10" name="IM 1"/>
                    <pic:cNvPicPr/>
                  </pic:nvPicPr>
                  <pic:blipFill>
                    <a:blip r:embed="rId9"/>
                    <a:stretch>
                      <a:fillRect/>
                    </a:stretch>
                  </pic:blipFill>
                  <pic:spPr>
                    <a:xfrm>
                      <a:off x="0" y="0"/>
                      <a:ext cx="1905" cy="7619"/>
                    </a:xfrm>
                    <a:prstGeom prst="rect">
                      <a:avLst/>
                    </a:prstGeom>
                  </pic:spPr>
                </pic:pic>
              </a:graphicData>
            </a:graphic>
          </wp:inline>
        </w:drawing>
      </w:r>
      <w:r>
        <w:rPr>
          <w:rFonts w:ascii="宋体" w:hAnsi="宋体" w:eastAsia="宋体" w:cs="宋体"/>
          <w:color w:val="222222"/>
          <w:spacing w:val="7"/>
          <w:sz w:val="24"/>
          <w:szCs w:val="24"/>
        </w:rPr>
        <w:t xml:space="preserve"> 各执一份。合同文本保存期限为从采购结束之日起至少保存十五年。</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十三、合同附件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本合同所附下列文件是构成本合同不可分割的部分，与本合同具有同等法律效力：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1、服务清单 (双方应盖章确认)</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2、乙方出具的报价单 (函)</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3、中标 (成交) 结果公告及中标 (成交) 通知书</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4、甲方招标 (磋商、谈判)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5、乙方投标 (响应)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6、甲乙双方商定的其他文件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xml:space="preserve"> 十四、双方约定的其他事宜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b/>
          <w:bCs/>
          <w:color w:val="000000"/>
          <w:kern w:val="44"/>
          <w:sz w:val="24"/>
          <w:szCs w:val="24"/>
          <w:highlight w:val="none"/>
        </w:rPr>
      </w:pPr>
      <w:bookmarkStart w:id="38" w:name="_Toc17070"/>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eastAsia="宋体"/>
          <w:bCs w:val="0"/>
          <w:kern w:val="2"/>
          <w:sz w:val="28"/>
          <w:szCs w:val="28"/>
          <w:lang w:val="zh-CN"/>
        </w:rPr>
      </w:pPr>
      <w:r>
        <w:rPr>
          <w:rFonts w:hint="eastAsia" w:ascii="宋体" w:hAnsi="宋体"/>
          <w:b/>
          <w:bCs/>
          <w:color w:val="000000"/>
          <w:kern w:val="44"/>
          <w:sz w:val="24"/>
          <w:szCs w:val="24"/>
          <w:highlight w:val="none"/>
        </w:rPr>
        <w:t>注：此合同仅为招标阶段模板，最终合同以中标后与招标人已签订的合同为准。</w:t>
      </w:r>
      <w:bookmarkEnd w:id="38"/>
      <w:r>
        <w:rPr>
          <w:rFonts w:hint="eastAsia" w:ascii="宋体" w:hAnsi="宋体" w:eastAsia="宋体"/>
          <w:bCs w:val="0"/>
          <w:kern w:val="2"/>
          <w:sz w:val="28"/>
          <w:szCs w:val="28"/>
          <w:lang w:val="zh-CN"/>
        </w:rPr>
        <w:br w:type="page"/>
      </w:r>
    </w:p>
    <w:bookmarkEnd w:id="36"/>
    <w:bookmarkEnd w:id="37"/>
    <w:p>
      <w:pPr>
        <w:keepNext w:val="0"/>
        <w:keepLines w:val="0"/>
        <w:pageBreakBefore w:val="0"/>
        <w:widowControl w:val="0"/>
        <w:kinsoku/>
        <w:wordWrap/>
        <w:overflowPunct/>
        <w:topLinePunct w:val="0"/>
        <w:autoSpaceDE/>
        <w:autoSpaceDN/>
        <w:bidi w:val="0"/>
        <w:adjustRightInd/>
        <w:snapToGrid/>
        <w:spacing w:line="500" w:lineRule="atLeast"/>
        <w:ind w:right="0"/>
        <w:textAlignment w:val="auto"/>
        <w:rPr>
          <w:rFonts w:ascii="宋体" w:hAnsi="宋体" w:eastAsia="宋体" w:cs="宋体"/>
          <w:color w:val="222222"/>
          <w:spacing w:val="7"/>
          <w:sz w:val="24"/>
          <w:szCs w:val="24"/>
        </w:rPr>
      </w:pPr>
      <w:bookmarkStart w:id="39" w:name="_Toc20071"/>
      <w:bookmarkStart w:id="40" w:name="_Toc8282"/>
      <w:bookmarkStart w:id="41" w:name="_Toc29758"/>
      <w:r>
        <w:rPr>
          <w:rFonts w:ascii="宋体" w:hAnsi="宋体" w:eastAsia="宋体" w:cs="宋体"/>
          <w:color w:val="222222"/>
          <w:spacing w:val="7"/>
          <w:sz w:val="24"/>
          <w:szCs w:val="24"/>
        </w:rPr>
        <w:t>二.验收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严格按照采购合同开展履约验收。采购人应当成立验收小组，按照采购合同的约定对</w:t>
      </w:r>
      <w:r>
        <w:rPr>
          <w:rFonts w:hint="eastAsia" w:ascii="宋体" w:hAnsi="宋体" w:eastAsia="宋体" w:cs="宋体"/>
          <w:color w:val="222222"/>
          <w:spacing w:val="7"/>
          <w:sz w:val="24"/>
          <w:szCs w:val="24"/>
          <w:lang w:val="en-US" w:eastAsia="zh-CN"/>
        </w:rPr>
        <w:t>供应商</w:t>
      </w:r>
      <w:r>
        <w:rPr>
          <w:rFonts w:ascii="宋体" w:hAnsi="宋体" w:eastAsia="宋体" w:cs="宋体"/>
          <w:color w:val="222222"/>
          <w:spacing w:val="7"/>
          <w:sz w:val="24"/>
          <w:szCs w:val="24"/>
        </w:rPr>
        <w:t>履约情况进行验收。验收时，应当按照采购合同的约定对每一项技术、服务、安全标准的履约情况进行确认。验收结束后，应当出具验收书（参考格式附后），列明各项标准的验收情况及项目总体评价，由验收双方共同签署。</w:t>
      </w:r>
    </w:p>
    <w:p>
      <w:pPr>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0"/>
        <w:rPr>
          <w:rFonts w:hint="eastAsia" w:ascii="宋体" w:hAnsi="宋体"/>
          <w:b/>
          <w:bCs/>
          <w:color w:val="000000"/>
          <w:kern w:val="44"/>
          <w:sz w:val="24"/>
          <w:szCs w:val="24"/>
          <w:highlight w:val="none"/>
        </w:rPr>
      </w:pPr>
      <w:bookmarkStart w:id="42" w:name="_Toc30744"/>
      <w:r>
        <w:rPr>
          <w:rFonts w:hint="eastAsia" w:ascii="宋体" w:hAnsi="宋体"/>
          <w:b/>
          <w:bCs/>
          <w:color w:val="000000"/>
          <w:kern w:val="44"/>
          <w:sz w:val="24"/>
          <w:szCs w:val="24"/>
          <w:highlight w:val="none"/>
        </w:rPr>
        <w:t>服务履约验收书</w:t>
      </w:r>
      <w:bookmarkEnd w:id="42"/>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b/>
          <w:bCs/>
          <w:color w:val="000000"/>
          <w:kern w:val="44"/>
          <w:sz w:val="24"/>
          <w:szCs w:val="24"/>
          <w:highlight w:val="none"/>
        </w:rPr>
      </w:pPr>
      <w:bookmarkStart w:id="43" w:name="_Toc4182"/>
      <w:r>
        <w:rPr>
          <w:rFonts w:hint="eastAsia" w:ascii="宋体" w:hAnsi="宋体"/>
          <w:b/>
          <w:bCs/>
          <w:color w:val="000000"/>
          <w:kern w:val="44"/>
          <w:sz w:val="24"/>
          <w:szCs w:val="24"/>
          <w:highlight w:val="none"/>
        </w:rPr>
        <w:t>(参考格式)</w:t>
      </w:r>
      <w:bookmarkEnd w:id="43"/>
    </w:p>
    <w:tbl>
      <w:tblPr>
        <w:tblStyle w:val="76"/>
        <w:tblW w:w="9859"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1"/>
        <w:gridCol w:w="74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7"/>
                <w:sz w:val="24"/>
                <w:szCs w:val="24"/>
              </w:rPr>
              <w:t>项</w:t>
            </w:r>
            <w:r>
              <w:rPr>
                <w:rFonts w:hint="eastAsia" w:ascii="宋体" w:hAnsi="宋体" w:eastAsia="宋体" w:cs="宋体"/>
                <w:color w:val="222222"/>
                <w:spacing w:val="5"/>
                <w:sz w:val="24"/>
                <w:szCs w:val="24"/>
              </w:rPr>
              <w:t>目名称</w:t>
            </w:r>
          </w:p>
        </w:tc>
        <w:tc>
          <w:tcPr>
            <w:tcW w:w="7468"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7"/>
                <w:sz w:val="24"/>
                <w:szCs w:val="24"/>
              </w:rPr>
              <w:t>项</w:t>
            </w:r>
            <w:r>
              <w:rPr>
                <w:rFonts w:hint="eastAsia" w:ascii="宋体" w:hAnsi="宋体" w:eastAsia="宋体" w:cs="宋体"/>
                <w:color w:val="222222"/>
                <w:spacing w:val="5"/>
                <w:sz w:val="24"/>
                <w:szCs w:val="24"/>
              </w:rPr>
              <w:t>目编号</w:t>
            </w:r>
          </w:p>
        </w:tc>
        <w:tc>
          <w:tcPr>
            <w:tcW w:w="7468"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8"/>
                <w:sz w:val="24"/>
                <w:szCs w:val="24"/>
              </w:rPr>
              <w:t>采</w:t>
            </w:r>
            <w:r>
              <w:rPr>
                <w:rFonts w:hint="eastAsia" w:ascii="宋体" w:hAnsi="宋体" w:eastAsia="宋体" w:cs="宋体"/>
                <w:color w:val="222222"/>
                <w:spacing w:val="6"/>
                <w:sz w:val="24"/>
                <w:szCs w:val="24"/>
              </w:rPr>
              <w:t>购人</w:t>
            </w:r>
          </w:p>
        </w:tc>
        <w:tc>
          <w:tcPr>
            <w:tcW w:w="7468"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6"/>
                <w:sz w:val="24"/>
                <w:szCs w:val="24"/>
              </w:rPr>
              <w:t>使用</w:t>
            </w:r>
            <w:r>
              <w:rPr>
                <w:rFonts w:hint="eastAsia" w:ascii="宋体" w:hAnsi="宋体" w:eastAsia="宋体" w:cs="宋体"/>
                <w:color w:val="222222"/>
                <w:spacing w:val="5"/>
                <w:sz w:val="24"/>
                <w:szCs w:val="24"/>
              </w:rPr>
              <w:t>人</w:t>
            </w:r>
          </w:p>
        </w:tc>
        <w:tc>
          <w:tcPr>
            <w:tcW w:w="7468"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7"/>
                <w:sz w:val="24"/>
                <w:szCs w:val="24"/>
              </w:rPr>
              <w:t>供应</w:t>
            </w:r>
            <w:r>
              <w:rPr>
                <w:rFonts w:hint="eastAsia" w:ascii="宋体" w:hAnsi="宋体" w:eastAsia="宋体" w:cs="宋体"/>
                <w:color w:val="222222"/>
                <w:spacing w:val="6"/>
                <w:sz w:val="24"/>
                <w:szCs w:val="24"/>
              </w:rPr>
              <w:t>商</w:t>
            </w:r>
          </w:p>
        </w:tc>
        <w:tc>
          <w:tcPr>
            <w:tcW w:w="7468"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5"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7"/>
                <w:sz w:val="24"/>
                <w:szCs w:val="24"/>
              </w:rPr>
              <w:t>验收依据</w:t>
            </w:r>
          </w:p>
        </w:tc>
        <w:tc>
          <w:tcPr>
            <w:tcW w:w="7468" w:type="dxa"/>
            <w:vAlign w:val="top"/>
          </w:tcPr>
          <w:p>
            <w:pPr>
              <w:spacing w:before="42" w:line="350" w:lineRule="exact"/>
              <w:ind w:left="135"/>
              <w:jc w:val="left"/>
              <w:rPr>
                <w:rFonts w:hint="eastAsia" w:ascii="宋体" w:hAnsi="宋体" w:eastAsia="宋体" w:cs="宋体"/>
                <w:sz w:val="24"/>
                <w:szCs w:val="24"/>
              </w:rPr>
            </w:pPr>
            <w:r>
              <w:rPr>
                <w:rFonts w:hint="eastAsia" w:ascii="宋体" w:hAnsi="宋体" w:eastAsia="宋体" w:cs="宋体"/>
                <w:color w:val="222222"/>
                <w:spacing w:val="12"/>
                <w:position w:val="5"/>
                <w:sz w:val="24"/>
                <w:szCs w:val="24"/>
              </w:rPr>
              <w:t>1</w:t>
            </w:r>
            <w:r>
              <w:rPr>
                <w:rFonts w:hint="eastAsia" w:ascii="宋体" w:hAnsi="宋体" w:eastAsia="宋体" w:cs="宋体"/>
                <w:color w:val="222222"/>
                <w:spacing w:val="8"/>
                <w:position w:val="5"/>
                <w:sz w:val="24"/>
                <w:szCs w:val="24"/>
              </w:rPr>
              <w:t>.</w:t>
            </w:r>
            <w:r>
              <w:rPr>
                <w:rFonts w:hint="eastAsia" w:ascii="宋体" w:hAnsi="宋体" w:eastAsia="宋体" w:cs="宋体"/>
                <w:color w:val="222222"/>
                <w:spacing w:val="6"/>
                <w:position w:val="5"/>
                <w:sz w:val="24"/>
                <w:szCs w:val="24"/>
              </w:rPr>
              <w:t>采购合同(合同名称及编号)</w:t>
            </w:r>
          </w:p>
          <w:p>
            <w:pPr>
              <w:spacing w:line="225" w:lineRule="auto"/>
              <w:ind w:left="119"/>
              <w:jc w:val="left"/>
              <w:rPr>
                <w:rFonts w:hint="eastAsia" w:ascii="宋体" w:hAnsi="宋体" w:eastAsia="宋体" w:cs="宋体"/>
                <w:sz w:val="24"/>
                <w:szCs w:val="24"/>
              </w:rPr>
            </w:pPr>
            <w:r>
              <w:rPr>
                <w:rFonts w:hint="eastAsia" w:ascii="宋体" w:hAnsi="宋体" w:eastAsia="宋体" w:cs="宋体"/>
                <w:color w:val="222222"/>
                <w:spacing w:val="11"/>
                <w:sz w:val="24"/>
                <w:szCs w:val="24"/>
              </w:rPr>
              <w:t>2</w:t>
            </w:r>
            <w:r>
              <w:rPr>
                <w:rFonts w:hint="eastAsia" w:ascii="宋体" w:hAnsi="宋体" w:eastAsia="宋体" w:cs="宋体"/>
                <w:color w:val="222222"/>
                <w:spacing w:val="7"/>
                <w:sz w:val="24"/>
                <w:szCs w:val="24"/>
              </w:rPr>
              <w:t>.中标(成交)公告或中标(成交)通知书</w:t>
            </w:r>
          </w:p>
          <w:p>
            <w:pPr>
              <w:spacing w:before="34" w:line="226" w:lineRule="auto"/>
              <w:ind w:left="121"/>
              <w:jc w:val="left"/>
              <w:rPr>
                <w:rFonts w:hint="eastAsia" w:ascii="宋体" w:hAnsi="宋体" w:eastAsia="宋体" w:cs="宋体"/>
                <w:sz w:val="24"/>
                <w:szCs w:val="24"/>
              </w:rPr>
            </w:pPr>
            <w:r>
              <w:rPr>
                <w:rFonts w:hint="eastAsia" w:ascii="宋体" w:hAnsi="宋体" w:eastAsia="宋体" w:cs="宋体"/>
                <w:color w:val="222222"/>
                <w:spacing w:val="12"/>
                <w:sz w:val="24"/>
                <w:szCs w:val="24"/>
              </w:rPr>
              <w:t>3</w:t>
            </w:r>
            <w:r>
              <w:rPr>
                <w:rFonts w:hint="eastAsia" w:ascii="宋体" w:hAnsi="宋体" w:eastAsia="宋体" w:cs="宋体"/>
                <w:color w:val="222222"/>
                <w:spacing w:val="11"/>
                <w:sz w:val="24"/>
                <w:szCs w:val="24"/>
              </w:rPr>
              <w:t>.</w:t>
            </w:r>
            <w:r>
              <w:rPr>
                <w:rFonts w:hint="eastAsia" w:ascii="宋体" w:hAnsi="宋体" w:eastAsia="宋体" w:cs="宋体"/>
                <w:color w:val="222222"/>
                <w:spacing w:val="6"/>
                <w:sz w:val="24"/>
                <w:szCs w:val="24"/>
              </w:rPr>
              <w:t>招标(磋商、谈判)文件</w:t>
            </w:r>
          </w:p>
          <w:p>
            <w:pPr>
              <w:spacing w:before="29" w:line="226" w:lineRule="auto"/>
              <w:ind w:left="115"/>
              <w:jc w:val="left"/>
              <w:rPr>
                <w:rFonts w:hint="eastAsia" w:ascii="宋体" w:hAnsi="宋体" w:eastAsia="宋体" w:cs="宋体"/>
                <w:sz w:val="24"/>
                <w:szCs w:val="24"/>
              </w:rPr>
            </w:pPr>
            <w:r>
              <w:rPr>
                <w:rFonts w:hint="eastAsia" w:ascii="宋体" w:hAnsi="宋体" w:eastAsia="宋体" w:cs="宋体"/>
                <w:color w:val="222222"/>
                <w:spacing w:val="11"/>
                <w:sz w:val="24"/>
                <w:szCs w:val="24"/>
              </w:rPr>
              <w:t>4</w:t>
            </w:r>
            <w:r>
              <w:rPr>
                <w:rFonts w:hint="eastAsia" w:ascii="宋体" w:hAnsi="宋体" w:eastAsia="宋体" w:cs="宋体"/>
                <w:color w:val="222222"/>
                <w:spacing w:val="6"/>
                <w:sz w:val="24"/>
                <w:szCs w:val="24"/>
              </w:rPr>
              <w:t>.投标(响应)文件</w:t>
            </w:r>
          </w:p>
          <w:p>
            <w:pPr>
              <w:spacing w:before="31" w:line="227" w:lineRule="auto"/>
              <w:ind w:left="121"/>
              <w:jc w:val="left"/>
              <w:rPr>
                <w:rFonts w:hint="eastAsia" w:ascii="宋体" w:hAnsi="宋体" w:eastAsia="宋体" w:cs="宋体"/>
                <w:sz w:val="24"/>
                <w:szCs w:val="24"/>
              </w:rPr>
            </w:pPr>
            <w:r>
              <w:rPr>
                <w:rFonts w:hint="eastAsia" w:ascii="宋体" w:hAnsi="宋体" w:eastAsia="宋体" w:cs="宋体"/>
                <w:color w:val="222222"/>
                <w:spacing w:val="14"/>
                <w:sz w:val="24"/>
                <w:szCs w:val="24"/>
              </w:rPr>
              <w:t>5</w:t>
            </w:r>
            <w:r>
              <w:rPr>
                <w:rFonts w:hint="eastAsia" w:ascii="宋体" w:hAnsi="宋体" w:eastAsia="宋体" w:cs="宋体"/>
                <w:color w:val="222222"/>
                <w:spacing w:val="8"/>
                <w:sz w:val="24"/>
                <w:szCs w:val="24"/>
              </w:rPr>
              <w:t>.</w:t>
            </w:r>
            <w:r>
              <w:rPr>
                <w:rFonts w:hint="eastAsia" w:ascii="宋体" w:hAnsi="宋体" w:eastAsia="宋体" w:cs="宋体"/>
                <w:color w:val="222222"/>
                <w:spacing w:val="7"/>
                <w:sz w:val="24"/>
                <w:szCs w:val="24"/>
              </w:rPr>
              <w:t>供应商的承诺、声明或保证(如有)</w:t>
            </w:r>
          </w:p>
          <w:p>
            <w:pPr>
              <w:spacing w:before="30" w:line="229" w:lineRule="auto"/>
              <w:ind w:left="116"/>
              <w:jc w:val="left"/>
              <w:rPr>
                <w:rFonts w:hint="eastAsia" w:ascii="宋体" w:hAnsi="宋体" w:eastAsia="宋体" w:cs="宋体"/>
                <w:sz w:val="24"/>
                <w:szCs w:val="24"/>
              </w:rPr>
            </w:pPr>
            <w:r>
              <w:rPr>
                <w:rFonts w:hint="eastAsia" w:ascii="宋体" w:hAnsi="宋体" w:eastAsia="宋体" w:cs="宋体"/>
                <w:color w:val="222222"/>
                <w:spacing w:val="16"/>
                <w:sz w:val="24"/>
                <w:szCs w:val="24"/>
              </w:rPr>
              <w:t>注</w:t>
            </w:r>
            <w:r>
              <w:rPr>
                <w:rFonts w:hint="eastAsia" w:ascii="宋体" w:hAnsi="宋体" w:eastAsia="宋体" w:cs="宋体"/>
                <w:color w:val="222222"/>
                <w:spacing w:val="9"/>
                <w:sz w:val="24"/>
                <w:szCs w:val="24"/>
              </w:rPr>
              <w:t>：验收依据可根据项目具体情况适当增加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8"/>
                <w:sz w:val="24"/>
                <w:szCs w:val="24"/>
              </w:rPr>
              <w:t>供应商对履</w:t>
            </w:r>
            <w:r>
              <w:rPr>
                <w:rFonts w:hint="eastAsia" w:ascii="宋体" w:hAnsi="宋体" w:eastAsia="宋体" w:cs="宋体"/>
                <w:color w:val="222222"/>
                <w:spacing w:val="7"/>
                <w:sz w:val="24"/>
                <w:szCs w:val="24"/>
              </w:rPr>
              <w:t>约</w:t>
            </w:r>
            <w:r>
              <w:rPr>
                <w:rFonts w:hint="eastAsia" w:ascii="宋体" w:hAnsi="宋体" w:eastAsia="宋体" w:cs="宋体"/>
                <w:color w:val="222222"/>
                <w:spacing w:val="9"/>
                <w:sz w:val="24"/>
                <w:szCs w:val="24"/>
              </w:rPr>
              <w:t>情</w:t>
            </w:r>
            <w:r>
              <w:rPr>
                <w:rFonts w:hint="eastAsia" w:ascii="宋体" w:hAnsi="宋体" w:eastAsia="宋体" w:cs="宋体"/>
                <w:color w:val="222222"/>
                <w:spacing w:val="8"/>
                <w:sz w:val="24"/>
                <w:szCs w:val="24"/>
              </w:rPr>
              <w:t>况的总结及</w:t>
            </w:r>
            <w:r>
              <w:rPr>
                <w:rFonts w:hint="eastAsia" w:ascii="宋体" w:hAnsi="宋体" w:eastAsia="宋体" w:cs="宋体"/>
                <w:color w:val="222222"/>
                <w:spacing w:val="11"/>
                <w:sz w:val="24"/>
                <w:szCs w:val="24"/>
              </w:rPr>
              <w:t>提</w:t>
            </w:r>
            <w:r>
              <w:rPr>
                <w:rFonts w:hint="eastAsia" w:ascii="宋体" w:hAnsi="宋体" w:eastAsia="宋体" w:cs="宋体"/>
                <w:color w:val="222222"/>
                <w:spacing w:val="7"/>
                <w:sz w:val="24"/>
                <w:szCs w:val="24"/>
              </w:rPr>
              <w:t>供的相关证</w:t>
            </w:r>
          </w:p>
          <w:p>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3"/>
                <w:sz w:val="24"/>
                <w:szCs w:val="24"/>
              </w:rPr>
              <w:t>明</w:t>
            </w:r>
            <w:r>
              <w:rPr>
                <w:rFonts w:hint="eastAsia" w:ascii="宋体" w:hAnsi="宋体" w:eastAsia="宋体" w:cs="宋体"/>
                <w:color w:val="222222"/>
                <w:spacing w:val="-2"/>
                <w:sz w:val="24"/>
                <w:szCs w:val="24"/>
              </w:rPr>
              <w:t>材料</w:t>
            </w:r>
          </w:p>
        </w:tc>
        <w:tc>
          <w:tcPr>
            <w:tcW w:w="7468" w:type="dxa"/>
            <w:vAlign w:val="center"/>
          </w:tcPr>
          <w:p>
            <w:pPr>
              <w:spacing w:before="44" w:line="256" w:lineRule="auto"/>
              <w:ind w:left="116" w:right="108"/>
              <w:jc w:val="left"/>
              <w:rPr>
                <w:rFonts w:hint="eastAsia" w:ascii="宋体" w:hAnsi="宋体" w:eastAsia="宋体" w:cs="宋体"/>
                <w:sz w:val="24"/>
                <w:szCs w:val="24"/>
              </w:rPr>
            </w:pPr>
            <w:r>
              <w:rPr>
                <w:rFonts w:hint="eastAsia" w:ascii="宋体" w:hAnsi="宋体" w:eastAsia="宋体" w:cs="宋体"/>
                <w:color w:val="222222"/>
                <w:spacing w:val="8"/>
                <w:sz w:val="24"/>
                <w:szCs w:val="24"/>
              </w:rPr>
              <w:t>注：供应商根据采购合同的约定，对履约情况(包括</w:t>
            </w:r>
            <w:r>
              <w:rPr>
                <w:rFonts w:hint="eastAsia" w:ascii="宋体" w:hAnsi="宋体" w:eastAsia="宋体" w:cs="宋体"/>
                <w:color w:val="222222"/>
                <w:spacing w:val="4"/>
                <w:sz w:val="24"/>
                <w:szCs w:val="24"/>
              </w:rPr>
              <w:t>但</w:t>
            </w:r>
            <w:r>
              <w:rPr>
                <w:rFonts w:hint="eastAsia" w:ascii="宋体" w:hAnsi="宋体" w:eastAsia="宋体" w:cs="宋体"/>
                <w:color w:val="222222"/>
                <w:spacing w:val="12"/>
                <w:sz w:val="24"/>
                <w:szCs w:val="24"/>
              </w:rPr>
              <w:t>不</w:t>
            </w:r>
            <w:r>
              <w:rPr>
                <w:rFonts w:hint="eastAsia" w:ascii="宋体" w:hAnsi="宋体" w:eastAsia="宋体" w:cs="宋体"/>
                <w:color w:val="222222"/>
                <w:spacing w:val="8"/>
                <w:sz w:val="24"/>
                <w:szCs w:val="24"/>
              </w:rPr>
              <w:t>限于采购合同中约定的服务内容、服务要求、服务质量、人员配置、服务成果、服务成果的交付等)进行</w:t>
            </w:r>
            <w:r>
              <w:rPr>
                <w:rFonts w:hint="eastAsia" w:ascii="宋体" w:hAnsi="宋体" w:eastAsia="宋体" w:cs="宋体"/>
                <w:color w:val="222222"/>
                <w:spacing w:val="4"/>
                <w:sz w:val="24"/>
                <w:szCs w:val="24"/>
              </w:rPr>
              <w:t>总</w:t>
            </w:r>
            <w:r>
              <w:rPr>
                <w:rFonts w:hint="eastAsia" w:ascii="宋体" w:hAnsi="宋体" w:eastAsia="宋体" w:cs="宋体"/>
                <w:color w:val="222222"/>
                <w:spacing w:val="16"/>
                <w:sz w:val="24"/>
                <w:szCs w:val="24"/>
              </w:rPr>
              <w:t>结</w:t>
            </w:r>
            <w:r>
              <w:rPr>
                <w:rFonts w:hint="eastAsia" w:ascii="宋体" w:hAnsi="宋体" w:eastAsia="宋体" w:cs="宋体"/>
                <w:color w:val="222222"/>
                <w:spacing w:val="15"/>
                <w:sz w:val="24"/>
                <w:szCs w:val="24"/>
              </w:rPr>
              <w:t>，</w:t>
            </w:r>
            <w:r>
              <w:rPr>
                <w:rFonts w:hint="eastAsia" w:ascii="宋体" w:hAnsi="宋体" w:eastAsia="宋体" w:cs="宋体"/>
                <w:color w:val="222222"/>
                <w:spacing w:val="8"/>
                <w:sz w:val="24"/>
                <w:szCs w:val="24"/>
              </w:rPr>
              <w:t>并提供相应的履约证明材料作为附件。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7"/>
                <w:sz w:val="24"/>
                <w:szCs w:val="24"/>
              </w:rPr>
              <w:t>采购人(使</w:t>
            </w:r>
            <w:r>
              <w:rPr>
                <w:rFonts w:hint="eastAsia" w:ascii="宋体" w:hAnsi="宋体" w:eastAsia="宋体" w:cs="宋体"/>
                <w:color w:val="222222"/>
                <w:spacing w:val="6"/>
                <w:sz w:val="24"/>
                <w:szCs w:val="24"/>
              </w:rPr>
              <w:t>用</w:t>
            </w:r>
          </w:p>
          <w:p>
            <w:pPr>
              <w:keepNext w:val="0"/>
              <w:keepLines w:val="0"/>
              <w:pageBreakBefore w:val="0"/>
              <w:widowControl w:val="0"/>
              <w:kinsoku/>
              <w:wordWrap/>
              <w:overflowPunct/>
              <w:topLinePunct w:val="0"/>
              <w:autoSpaceDE/>
              <w:autoSpaceDN/>
              <w:bidi w:val="0"/>
              <w:adjustRightInd/>
              <w:snapToGrid/>
              <w:spacing w:line="227"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9"/>
                <w:sz w:val="24"/>
                <w:szCs w:val="24"/>
              </w:rPr>
              <w:t>人</w:t>
            </w:r>
            <w:r>
              <w:rPr>
                <w:rFonts w:hint="eastAsia" w:ascii="宋体" w:hAnsi="宋体" w:eastAsia="宋体" w:cs="宋体"/>
                <w:color w:val="222222"/>
                <w:spacing w:val="6"/>
                <w:sz w:val="24"/>
                <w:szCs w:val="24"/>
              </w:rPr>
              <w:t>)对履约情</w:t>
            </w:r>
          </w:p>
          <w:p>
            <w:pPr>
              <w:keepNext w:val="0"/>
              <w:keepLines w:val="0"/>
              <w:pageBreakBefore w:val="0"/>
              <w:widowControl w:val="0"/>
              <w:kinsoku/>
              <w:wordWrap/>
              <w:overflowPunct/>
              <w:topLinePunct w:val="0"/>
              <w:autoSpaceDE/>
              <w:autoSpaceDN/>
              <w:bidi w:val="0"/>
              <w:adjustRightInd/>
              <w:snapToGrid/>
              <w:spacing w:line="227" w:lineRule="auto"/>
              <w:ind w:left="0"/>
              <w:jc w:val="center"/>
              <w:textAlignment w:val="auto"/>
              <w:rPr>
                <w:rFonts w:hint="eastAsia" w:ascii="宋体" w:hAnsi="宋体" w:eastAsia="宋体" w:cs="宋体"/>
                <w:sz w:val="24"/>
                <w:szCs w:val="24"/>
              </w:rPr>
            </w:pPr>
            <w:r>
              <w:rPr>
                <w:rFonts w:hint="eastAsia" w:ascii="宋体" w:hAnsi="宋体" w:eastAsia="宋体" w:cs="宋体"/>
                <w:color w:val="222222"/>
                <w:spacing w:val="7"/>
                <w:sz w:val="24"/>
                <w:szCs w:val="24"/>
              </w:rPr>
              <w:t>况</w:t>
            </w:r>
            <w:r>
              <w:rPr>
                <w:rFonts w:hint="eastAsia" w:ascii="宋体" w:hAnsi="宋体" w:eastAsia="宋体" w:cs="宋体"/>
                <w:color w:val="222222"/>
                <w:spacing w:val="6"/>
                <w:sz w:val="24"/>
                <w:szCs w:val="24"/>
              </w:rPr>
              <w:t>的确认</w:t>
            </w:r>
          </w:p>
        </w:tc>
        <w:tc>
          <w:tcPr>
            <w:tcW w:w="7468" w:type="dxa"/>
            <w:vAlign w:val="center"/>
          </w:tcPr>
          <w:p>
            <w:pPr>
              <w:spacing w:before="43" w:line="264" w:lineRule="auto"/>
              <w:ind w:left="113" w:right="108" w:firstLine="2"/>
              <w:jc w:val="left"/>
              <w:rPr>
                <w:rFonts w:hint="eastAsia" w:ascii="宋体" w:hAnsi="宋体" w:eastAsia="宋体" w:cs="宋体"/>
                <w:sz w:val="24"/>
                <w:szCs w:val="24"/>
              </w:rPr>
            </w:pPr>
            <w:r>
              <w:rPr>
                <w:rFonts w:hint="eastAsia" w:ascii="宋体" w:hAnsi="宋体" w:eastAsia="宋体" w:cs="宋体"/>
                <w:color w:val="222222"/>
                <w:spacing w:val="12"/>
                <w:sz w:val="24"/>
                <w:szCs w:val="24"/>
              </w:rPr>
              <w:t>注</w:t>
            </w:r>
            <w:r>
              <w:rPr>
                <w:rFonts w:hint="eastAsia" w:ascii="宋体" w:hAnsi="宋体" w:eastAsia="宋体" w:cs="宋体"/>
                <w:color w:val="222222"/>
                <w:spacing w:val="8"/>
                <w:sz w:val="24"/>
                <w:szCs w:val="24"/>
              </w:rPr>
              <w:t>：采购人或使用人根据采购合同约定，对供应商履约</w:t>
            </w:r>
            <w:r>
              <w:rPr>
                <w:rFonts w:hint="eastAsia" w:ascii="宋体" w:hAnsi="宋体" w:eastAsia="宋体" w:cs="宋体"/>
                <w:color w:val="222222"/>
                <w:spacing w:val="13"/>
                <w:sz w:val="24"/>
                <w:szCs w:val="24"/>
              </w:rPr>
              <w:t>情</w:t>
            </w:r>
            <w:r>
              <w:rPr>
                <w:rFonts w:hint="eastAsia" w:ascii="宋体" w:hAnsi="宋体" w:eastAsia="宋体" w:cs="宋体"/>
                <w:color w:val="222222"/>
                <w:spacing w:val="7"/>
                <w:sz w:val="24"/>
                <w:szCs w:val="24"/>
              </w:rPr>
              <w:t>况进行逐一确认。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验收人员名单</w:t>
            </w:r>
          </w:p>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及组成</w:t>
            </w:r>
          </w:p>
        </w:tc>
        <w:tc>
          <w:tcPr>
            <w:tcW w:w="7468" w:type="dxa"/>
            <w:vAlign w:val="top"/>
          </w:tcPr>
          <w:p>
            <w:pPr>
              <w:numPr>
                <w:ilvl w:val="0"/>
                <w:numId w:val="7"/>
              </w:numPr>
              <w:spacing w:before="41" w:line="262" w:lineRule="auto"/>
              <w:ind w:left="115" w:right="1292" w:firstLine="20"/>
              <w:jc w:val="left"/>
              <w:rPr>
                <w:rFonts w:hint="eastAsia" w:ascii="宋体" w:hAnsi="宋体" w:eastAsia="宋体" w:cs="宋体"/>
                <w:sz w:val="24"/>
                <w:szCs w:val="24"/>
              </w:rPr>
            </w:pPr>
            <w:r>
              <w:rPr>
                <w:rFonts w:hint="eastAsia" w:ascii="宋体" w:hAnsi="宋体" w:eastAsia="宋体" w:cs="宋体"/>
                <w:color w:val="222222"/>
                <w:spacing w:val="-2"/>
                <w:sz w:val="24"/>
                <w:szCs w:val="24"/>
              </w:rPr>
              <w:t>采购人代表：</w:t>
            </w:r>
          </w:p>
          <w:p>
            <w:pPr>
              <w:numPr>
                <w:ilvl w:val="0"/>
                <w:numId w:val="7"/>
              </w:numPr>
              <w:spacing w:before="41" w:line="262" w:lineRule="auto"/>
              <w:ind w:left="115" w:right="1292" w:firstLine="20"/>
              <w:jc w:val="left"/>
              <w:rPr>
                <w:rFonts w:hint="eastAsia" w:ascii="宋体" w:hAnsi="宋体" w:eastAsia="宋体" w:cs="宋体"/>
                <w:sz w:val="24"/>
                <w:szCs w:val="24"/>
              </w:rPr>
            </w:pPr>
            <w:r>
              <w:rPr>
                <w:rFonts w:hint="eastAsia" w:ascii="宋体" w:hAnsi="宋体" w:eastAsia="宋体" w:cs="宋体"/>
                <w:color w:val="222222"/>
                <w:spacing w:val="7"/>
                <w:sz w:val="24"/>
                <w:szCs w:val="24"/>
              </w:rPr>
              <w:t>供应商代表</w:t>
            </w:r>
            <w:r>
              <w:rPr>
                <w:rFonts w:hint="eastAsia" w:ascii="宋体" w:hAnsi="宋体" w:eastAsia="宋体" w:cs="宋体"/>
                <w:color w:val="222222"/>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验收评价</w:t>
            </w:r>
          </w:p>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及结论</w:t>
            </w:r>
          </w:p>
        </w:tc>
        <w:tc>
          <w:tcPr>
            <w:tcW w:w="7468" w:type="dxa"/>
            <w:vAlign w:val="top"/>
          </w:tcPr>
          <w:p>
            <w:pPr>
              <w:spacing w:before="84" w:line="225" w:lineRule="auto"/>
              <w:ind w:left="115"/>
              <w:jc w:val="left"/>
              <w:rPr>
                <w:rFonts w:hint="eastAsia" w:ascii="宋体" w:hAnsi="宋体" w:eastAsia="宋体" w:cs="宋体"/>
                <w:sz w:val="24"/>
                <w:szCs w:val="24"/>
              </w:rPr>
            </w:pPr>
            <w:r>
              <w:rPr>
                <w:rFonts w:hint="eastAsia" w:ascii="宋体" w:hAnsi="宋体" w:eastAsia="宋体" w:cs="宋体"/>
                <w:color w:val="222222"/>
                <w:spacing w:val="4"/>
                <w:sz w:val="24"/>
                <w:szCs w:val="24"/>
              </w:rPr>
              <w:t>评</w:t>
            </w:r>
            <w:r>
              <w:rPr>
                <w:rFonts w:hint="eastAsia" w:ascii="宋体" w:hAnsi="宋体" w:eastAsia="宋体" w:cs="宋体"/>
                <w:color w:val="222222"/>
                <w:spacing w:val="2"/>
                <w:sz w:val="24"/>
                <w:szCs w:val="24"/>
              </w:rPr>
              <w:t>价：</w:t>
            </w:r>
          </w:p>
          <w:p>
            <w:pPr>
              <w:spacing w:before="208" w:line="228" w:lineRule="auto"/>
              <w:ind w:left="122"/>
              <w:jc w:val="left"/>
              <w:rPr>
                <w:rFonts w:hint="eastAsia" w:ascii="宋体" w:hAnsi="宋体" w:eastAsia="宋体" w:cs="宋体"/>
                <w:sz w:val="24"/>
                <w:szCs w:val="24"/>
              </w:rPr>
            </w:pPr>
            <w:r>
              <w:rPr>
                <w:rFonts w:hint="eastAsia" w:ascii="宋体" w:hAnsi="宋体" w:eastAsia="宋体" w:cs="宋体"/>
                <w:color w:val="222222"/>
                <w:spacing w:val="-10"/>
                <w:sz w:val="24"/>
                <w:szCs w:val="24"/>
              </w:rPr>
              <w:t>结论：☐</w:t>
            </w:r>
            <w:r>
              <w:rPr>
                <w:rFonts w:hint="eastAsia" w:ascii="宋体" w:hAnsi="宋体" w:eastAsia="宋体" w:cs="宋体"/>
                <w:color w:val="222222"/>
                <w:spacing w:val="-5"/>
                <w:sz w:val="24"/>
                <w:szCs w:val="24"/>
              </w:rPr>
              <w:t>通过☐不通过，具体说明：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lang w:val="en-US" w:eastAsia="zh-CN"/>
              </w:rPr>
            </w:pPr>
            <w:r>
              <w:rPr>
                <w:rFonts w:hint="eastAsia" w:ascii="宋体" w:hAnsi="宋体" w:eastAsia="宋体" w:cs="宋体"/>
                <w:color w:val="222222"/>
                <w:spacing w:val="7"/>
                <w:sz w:val="24"/>
                <w:szCs w:val="24"/>
              </w:rPr>
              <w:t>验收人员签字</w:t>
            </w:r>
          </w:p>
        </w:tc>
        <w:tc>
          <w:tcPr>
            <w:tcW w:w="7468"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lang w:val="en-US" w:eastAsia="zh-CN"/>
              </w:rPr>
            </w:pPr>
            <w:r>
              <w:rPr>
                <w:rFonts w:hint="eastAsia" w:ascii="宋体" w:hAnsi="宋体" w:eastAsia="宋体" w:cs="宋体"/>
                <w:color w:val="222222"/>
                <w:spacing w:val="7"/>
                <w:sz w:val="24"/>
                <w:szCs w:val="24"/>
                <w:lang w:val="en-US" w:eastAsia="zh-CN"/>
              </w:rPr>
              <w:t xml:space="preserve">                     </w:t>
            </w:r>
            <w:r>
              <w:rPr>
                <w:rFonts w:hint="eastAsia" w:ascii="宋体" w:hAnsi="宋体" w:eastAsia="宋体" w:cs="宋体"/>
                <w:color w:val="222222"/>
                <w:spacing w:val="7"/>
                <w:sz w:val="24"/>
                <w:szCs w:val="24"/>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trPr>
        <w:tc>
          <w:tcPr>
            <w:tcW w:w="2391"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采购人确认意</w:t>
            </w:r>
          </w:p>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见(采购人委</w:t>
            </w:r>
          </w:p>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托代理机构验</w:t>
            </w:r>
          </w:p>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lang w:val="en-US" w:eastAsia="zh-CN"/>
              </w:rPr>
            </w:pPr>
            <w:r>
              <w:rPr>
                <w:rFonts w:hint="eastAsia" w:ascii="宋体" w:hAnsi="宋体" w:eastAsia="宋体" w:cs="宋体"/>
                <w:color w:val="222222"/>
                <w:spacing w:val="7"/>
                <w:sz w:val="24"/>
                <w:szCs w:val="24"/>
              </w:rPr>
              <w:t>收时适用)</w:t>
            </w:r>
          </w:p>
        </w:tc>
        <w:tc>
          <w:tcPr>
            <w:tcW w:w="7468"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left"/>
              <w:textAlignment w:val="auto"/>
              <w:rPr>
                <w:rFonts w:hint="eastAsia" w:ascii="宋体" w:hAnsi="宋体" w:eastAsia="宋体" w:cs="宋体"/>
                <w:color w:val="222222"/>
                <w:spacing w:val="7"/>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left"/>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 同意验收结论</w:t>
            </w:r>
          </w:p>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left"/>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 不同意验收结论。具体说明：</w:t>
            </w:r>
          </w:p>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lang w:val="en-US" w:eastAsia="zh-CN"/>
              </w:rPr>
            </w:pPr>
            <w:r>
              <w:rPr>
                <w:rFonts w:hint="eastAsia" w:ascii="宋体" w:hAnsi="宋体" w:eastAsia="宋体" w:cs="宋体"/>
                <w:color w:val="222222"/>
                <w:spacing w:val="7"/>
                <w:sz w:val="24"/>
                <w:szCs w:val="24"/>
                <w:lang w:val="en-US" w:eastAsia="zh-CN"/>
              </w:rPr>
              <w:t xml:space="preserve">                 </w:t>
            </w:r>
            <w:r>
              <w:rPr>
                <w:rFonts w:hint="eastAsia" w:ascii="宋体" w:hAnsi="宋体" w:eastAsia="宋体" w:cs="宋体"/>
                <w:color w:val="222222"/>
                <w:spacing w:val="7"/>
                <w:sz w:val="24"/>
                <w:szCs w:val="24"/>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391"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lang w:val="en-US" w:eastAsia="zh-CN"/>
              </w:rPr>
            </w:pPr>
            <w:r>
              <w:rPr>
                <w:rFonts w:hint="eastAsia" w:ascii="宋体" w:hAnsi="宋体" w:eastAsia="宋体" w:cs="宋体"/>
                <w:color w:val="222222"/>
                <w:spacing w:val="7"/>
                <w:sz w:val="24"/>
                <w:szCs w:val="24"/>
              </w:rPr>
              <w:t>备注</w:t>
            </w:r>
          </w:p>
        </w:tc>
        <w:tc>
          <w:tcPr>
            <w:tcW w:w="7468"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44" w:rightChars="0" w:firstLine="0" w:firstLineChars="0"/>
              <w:jc w:val="center"/>
              <w:textAlignment w:val="auto"/>
              <w:rPr>
                <w:rFonts w:hint="eastAsia" w:ascii="宋体" w:hAnsi="宋体" w:eastAsia="宋体" w:cs="宋体"/>
                <w:color w:val="222222"/>
                <w:spacing w:val="7"/>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before="172" w:line="360" w:lineRule="auto"/>
        <w:ind w:firstLine="520" w:firstLineChars="200"/>
        <w:textAlignment w:val="auto"/>
        <w:rPr>
          <w:rFonts w:ascii="宋体" w:hAnsi="宋体" w:eastAsia="宋体" w:cs="宋体"/>
          <w:b w:val="0"/>
          <w:bCs w:val="0"/>
          <w:color w:val="222222"/>
          <w:spacing w:val="8"/>
          <w:sz w:val="24"/>
          <w:szCs w:val="24"/>
          <w14:textOutline w14:w="4889" w14:cap="sq" w14:cmpd="sng">
            <w14:solidFill>
              <w14:srgbClr w14:val="222222"/>
            </w14:solidFill>
            <w14:prstDash w14:val="solid"/>
            <w14:bevel/>
          </w14:textOutline>
        </w:rPr>
      </w:pPr>
      <w:r>
        <w:rPr>
          <w:rFonts w:ascii="宋体" w:hAnsi="宋体" w:eastAsia="宋体" w:cs="宋体"/>
          <w:b w:val="0"/>
          <w:bCs w:val="0"/>
          <w:color w:val="222222"/>
          <w:spacing w:val="10"/>
          <w:sz w:val="24"/>
          <w:szCs w:val="24"/>
          <w14:textOutline w14:w="4889" w14:cap="sq" w14:cmpd="sng">
            <w14:solidFill>
              <w14:srgbClr w14:val="222222"/>
            </w14:solidFill>
            <w14:prstDash w14:val="solid"/>
            <w14:bevel/>
          </w14:textOutline>
        </w:rPr>
        <w:t>采</w:t>
      </w:r>
      <w:r>
        <w:rPr>
          <w:rFonts w:ascii="宋体" w:hAnsi="宋体" w:eastAsia="宋体" w:cs="宋体"/>
          <w:b w:val="0"/>
          <w:bCs w:val="0"/>
          <w:color w:val="222222"/>
          <w:spacing w:val="8"/>
          <w:sz w:val="24"/>
          <w:szCs w:val="24"/>
          <w14:textOutline w14:w="4889" w14:cap="sq" w14:cmpd="sng">
            <w14:solidFill>
              <w14:srgbClr w14:val="222222"/>
            </w14:solidFill>
            <w14:prstDash w14:val="solid"/>
            <w14:bevel/>
          </w14:textOutline>
        </w:rPr>
        <w:t>购人代表签字：</w:t>
      </w:r>
      <w:r>
        <w:rPr>
          <w:rFonts w:hint="eastAsia" w:ascii="宋体" w:hAnsi="宋体" w:eastAsia="宋体" w:cs="宋体"/>
          <w:b w:val="0"/>
          <w:bCs w:val="0"/>
          <w:color w:val="222222"/>
          <w:spacing w:val="8"/>
          <w:sz w:val="24"/>
          <w:szCs w:val="24"/>
          <w:lang w:val="en-US" w:eastAsia="zh-CN"/>
          <w14:textOutline w14:w="4889" w14:cap="sq" w14:cmpd="sng">
            <w14:solidFill>
              <w14:srgbClr w14:val="222222"/>
            </w14:solidFill>
            <w14:prstDash w14:val="solid"/>
            <w14:bevel/>
          </w14:textOutline>
        </w:rPr>
        <w:t xml:space="preserve">                  </w:t>
      </w:r>
      <w:r>
        <w:rPr>
          <w:rFonts w:ascii="宋体" w:hAnsi="宋体" w:eastAsia="宋体" w:cs="宋体"/>
          <w:b w:val="0"/>
          <w:bCs w:val="0"/>
          <w:color w:val="222222"/>
          <w:spacing w:val="9"/>
          <w:sz w:val="24"/>
          <w:szCs w:val="24"/>
          <w14:textOutline w14:w="4889" w14:cap="sq" w14:cmpd="sng">
            <w14:solidFill>
              <w14:srgbClr w14:val="222222"/>
            </w14:solidFill>
            <w14:prstDash w14:val="solid"/>
            <w14:bevel/>
          </w14:textOutline>
        </w:rPr>
        <w:t>供</w:t>
      </w:r>
      <w:r>
        <w:rPr>
          <w:rFonts w:ascii="宋体" w:hAnsi="宋体" w:eastAsia="宋体" w:cs="宋体"/>
          <w:b w:val="0"/>
          <w:bCs w:val="0"/>
          <w:color w:val="222222"/>
          <w:spacing w:val="8"/>
          <w:sz w:val="24"/>
          <w:szCs w:val="24"/>
          <w14:textOutline w14:w="4889" w14:cap="sq" w14:cmpd="sng">
            <w14:solidFill>
              <w14:srgbClr w14:val="222222"/>
            </w14:solidFill>
            <w14:prstDash w14:val="solid"/>
            <w14:bevel/>
          </w14:textOutline>
        </w:rPr>
        <w:t>应商代表签字：</w:t>
      </w:r>
    </w:p>
    <w:p>
      <w:pPr>
        <w:spacing w:before="52" w:line="480" w:lineRule="auto"/>
        <w:ind w:firstLine="2002" w:firstLineChars="700"/>
        <w:jc w:val="left"/>
        <w:rPr>
          <w:rFonts w:hint="eastAsia" w:ascii="宋体" w:hAnsi="宋体" w:eastAsia="宋体"/>
          <w:bCs w:val="0"/>
          <w:kern w:val="2"/>
          <w:sz w:val="28"/>
          <w:szCs w:val="28"/>
          <w:lang w:val="zh-CN"/>
        </w:rPr>
      </w:pPr>
      <w:r>
        <w:rPr>
          <w:rFonts w:ascii="宋体" w:hAnsi="宋体" w:eastAsia="宋体" w:cs="宋体"/>
          <w:color w:val="222222"/>
          <w:spacing w:val="13"/>
          <w:sz w:val="26"/>
          <w:szCs w:val="26"/>
        </w:rPr>
        <w:t>年</w:t>
      </w:r>
      <w:r>
        <w:rPr>
          <w:rFonts w:ascii="宋体" w:hAnsi="宋体" w:eastAsia="宋体" w:cs="宋体"/>
          <w:color w:val="222222"/>
          <w:spacing w:val="12"/>
          <w:sz w:val="26"/>
          <w:szCs w:val="26"/>
        </w:rPr>
        <w:t xml:space="preserve">  月  日</w:t>
      </w:r>
      <w:r>
        <w:rPr>
          <w:rFonts w:hint="eastAsia" w:ascii="宋体" w:hAnsi="宋体" w:eastAsia="宋体" w:cs="宋体"/>
          <w:color w:val="222222"/>
          <w:spacing w:val="12"/>
          <w:sz w:val="26"/>
          <w:szCs w:val="26"/>
          <w:lang w:val="en-US" w:eastAsia="zh-CN"/>
        </w:rPr>
        <w:t xml:space="preserve">                    </w:t>
      </w:r>
      <w:r>
        <w:rPr>
          <w:rFonts w:ascii="宋体" w:hAnsi="宋体" w:eastAsia="宋体" w:cs="宋体"/>
          <w:color w:val="222222"/>
          <w:spacing w:val="13"/>
          <w:sz w:val="26"/>
          <w:szCs w:val="26"/>
        </w:rPr>
        <w:t>年</w:t>
      </w:r>
      <w:r>
        <w:rPr>
          <w:rFonts w:ascii="宋体" w:hAnsi="宋体" w:eastAsia="宋体" w:cs="宋体"/>
          <w:color w:val="222222"/>
          <w:spacing w:val="12"/>
          <w:sz w:val="26"/>
          <w:szCs w:val="26"/>
        </w:rPr>
        <w:t xml:space="preserve">  月  日</w:t>
      </w:r>
    </w:p>
    <w:p>
      <w:pPr>
        <w:pStyle w:val="29"/>
        <w:shd w:val="clear"/>
        <w:spacing w:line="360" w:lineRule="auto"/>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t>第七章 响应文件格式与要求</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lang w:val="zh-CN"/>
        </w:rPr>
      </w:pPr>
      <w:r>
        <w:rPr>
          <w:rFonts w:hint="eastAsia"/>
          <w:sz w:val="24"/>
          <w:szCs w:val="24"/>
          <w:lang w:val="zh-CN"/>
        </w:rPr>
        <w:t>供应商提供响应文件应按照以下格式及要求进行编制，且不少于以下内容。</w:t>
      </w:r>
      <w:r>
        <w:rPr>
          <w:sz w:val="24"/>
          <w:szCs w:val="24"/>
          <w:lang w:val="zh-CN"/>
        </w:rPr>
        <w:br w:type="page"/>
      </w:r>
    </w:p>
    <w:p>
      <w:pPr>
        <w:spacing w:line="360" w:lineRule="auto"/>
        <w:ind w:firstLine="726" w:firstLineChars="201"/>
        <w:jc w:val="center"/>
        <w:rPr>
          <w:rFonts w:ascii="宋体" w:hAnsi="宋体" w:cs="宋体"/>
          <w:b/>
          <w:bCs/>
          <w:sz w:val="36"/>
          <w:szCs w:val="36"/>
        </w:rPr>
      </w:pPr>
    </w:p>
    <w:p>
      <w:pPr>
        <w:spacing w:line="360" w:lineRule="auto"/>
        <w:ind w:firstLine="1049" w:firstLineChars="201"/>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国家税务总局乌拉特前旗税务局物业管理服务项目（三次）</w:t>
      </w:r>
    </w:p>
    <w:p>
      <w:pPr>
        <w:spacing w:line="360" w:lineRule="auto"/>
        <w:ind w:firstLine="1049" w:firstLineChars="201"/>
        <w:jc w:val="center"/>
        <w:rPr>
          <w:rFonts w:hint="eastAsia" w:cs="宋体" w:asciiTheme="minorEastAsia" w:hAnsiTheme="minorEastAsia" w:eastAsiaTheme="minorEastAsia"/>
          <w:b/>
          <w:bCs/>
          <w:kern w:val="0"/>
          <w:sz w:val="52"/>
          <w:szCs w:val="52"/>
        </w:rPr>
      </w:pPr>
    </w:p>
    <w:p>
      <w:pPr>
        <w:spacing w:line="360" w:lineRule="auto"/>
        <w:ind w:firstLine="1049" w:firstLineChars="201"/>
        <w:jc w:val="center"/>
        <w:rPr>
          <w:rFonts w:hint="eastAsia" w:cs="宋体" w:asciiTheme="minorEastAsia" w:hAnsiTheme="minorEastAsia" w:eastAsiaTheme="minorEastAsia"/>
          <w:b/>
          <w:bCs/>
          <w:kern w:val="0"/>
          <w:sz w:val="52"/>
          <w:szCs w:val="52"/>
        </w:rPr>
      </w:pPr>
    </w:p>
    <w:p>
      <w:pPr>
        <w:spacing w:line="360" w:lineRule="auto"/>
        <w:ind w:firstLine="3935" w:firstLineChars="700"/>
        <w:jc w:val="both"/>
        <w:rPr>
          <w:rFonts w:asciiTheme="minorEastAsia" w:hAnsiTheme="minorEastAsia" w:eastAsiaTheme="minorEastAsia"/>
          <w:b/>
          <w:bCs/>
          <w:kern w:val="0"/>
          <w:sz w:val="56"/>
          <w:szCs w:val="56"/>
        </w:rPr>
      </w:pPr>
      <w:r>
        <w:rPr>
          <w:rFonts w:hint="eastAsia" w:cs="宋体" w:asciiTheme="minorEastAsia" w:hAnsiTheme="minorEastAsia" w:eastAsiaTheme="minorEastAsia"/>
          <w:b/>
          <w:bCs/>
          <w:kern w:val="0"/>
          <w:sz w:val="56"/>
          <w:szCs w:val="56"/>
        </w:rPr>
        <w:t>响应文件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723" w:firstLineChars="201"/>
        <w:jc w:val="center"/>
        <w:rPr>
          <w:rFonts w:hint="eastAsia" w:cs="楷体_GB2312" w:asciiTheme="minorEastAsia" w:hAnsiTheme="minorEastAsia" w:eastAsiaTheme="minorEastAsia"/>
          <w:sz w:val="36"/>
          <w:szCs w:val="36"/>
        </w:rPr>
      </w:pPr>
    </w:p>
    <w:p>
      <w:pPr>
        <w:spacing w:line="360" w:lineRule="auto"/>
        <w:ind w:firstLine="723" w:firstLineChars="201"/>
        <w:jc w:val="center"/>
        <w:rPr>
          <w:rFonts w:hint="eastAsia" w:cs="楷体_GB2312" w:asciiTheme="minorEastAsia" w:hAnsiTheme="minorEastAsia" w:eastAsiaTheme="minorEastAsia"/>
          <w:sz w:val="36"/>
          <w:szCs w:val="36"/>
        </w:rPr>
      </w:pPr>
      <w:r>
        <w:rPr>
          <w:rFonts w:hint="eastAsia" w:cs="楷体_GB2312" w:asciiTheme="minorEastAsia" w:hAnsiTheme="minorEastAsia" w:eastAsiaTheme="minorEastAsia"/>
          <w:sz w:val="36"/>
          <w:szCs w:val="36"/>
        </w:rPr>
        <w:t>项目编号：</w:t>
      </w:r>
      <w:r>
        <w:rPr>
          <w:rFonts w:hint="eastAsia" w:cs="楷体_GB2312" w:asciiTheme="minorEastAsia" w:hAnsiTheme="minorEastAsia" w:eastAsiaTheme="minorEastAsia"/>
          <w:sz w:val="36"/>
          <w:szCs w:val="36"/>
          <w:lang w:val="en-US"/>
        </w:rPr>
        <w:t>NMG</w:t>
      </w:r>
      <w:r>
        <w:rPr>
          <w:rFonts w:hint="eastAsia" w:cs="楷体_GB2312" w:asciiTheme="minorEastAsia" w:hAnsiTheme="minorEastAsia" w:eastAsiaTheme="minorEastAsia"/>
          <w:sz w:val="36"/>
          <w:szCs w:val="36"/>
          <w:lang w:val="en-US" w:eastAsia="zh-CN"/>
        </w:rPr>
        <w:t>CB</w:t>
      </w:r>
      <w:r>
        <w:rPr>
          <w:rFonts w:hint="eastAsia" w:cs="楷体_GB2312" w:asciiTheme="minorEastAsia" w:hAnsiTheme="minorEastAsia" w:eastAsiaTheme="minorEastAsia"/>
          <w:sz w:val="36"/>
          <w:szCs w:val="36"/>
          <w:lang w:val="en-US"/>
        </w:rPr>
        <w:t>-</w:t>
      </w:r>
      <w:r>
        <w:rPr>
          <w:rFonts w:hint="eastAsia" w:cs="楷体_GB2312" w:asciiTheme="minorEastAsia" w:hAnsiTheme="minorEastAsia" w:eastAsiaTheme="minorEastAsia"/>
          <w:sz w:val="36"/>
          <w:szCs w:val="36"/>
          <w:lang w:val="en-US" w:eastAsia="zh-CN"/>
        </w:rPr>
        <w:t>2025</w:t>
      </w:r>
      <w:r>
        <w:rPr>
          <w:rFonts w:hint="eastAsia" w:cs="楷体_GB2312" w:asciiTheme="minorEastAsia" w:hAnsiTheme="minorEastAsia" w:eastAsiaTheme="minorEastAsia"/>
          <w:sz w:val="36"/>
          <w:szCs w:val="36"/>
          <w:lang w:val="en-US"/>
        </w:rPr>
        <w:t>-</w:t>
      </w:r>
      <w:r>
        <w:rPr>
          <w:rFonts w:hint="eastAsia" w:cs="楷体_GB2312" w:asciiTheme="minorEastAsia" w:hAnsiTheme="minorEastAsia" w:eastAsiaTheme="minorEastAsia"/>
          <w:sz w:val="36"/>
          <w:szCs w:val="36"/>
          <w:lang w:val="en-US" w:eastAsia="zh-CN"/>
        </w:rPr>
        <w:t>066</w:t>
      </w:r>
    </w:p>
    <w:p>
      <w:pPr>
        <w:spacing w:line="360" w:lineRule="auto"/>
        <w:ind w:firstLine="723" w:firstLineChars="201"/>
        <w:rPr>
          <w:rFonts w:asciiTheme="minorEastAsia" w:hAnsiTheme="minorEastAsia" w:eastAsiaTheme="minorEastAsia"/>
          <w:b/>
          <w:bCs/>
          <w:kern w:val="0"/>
          <w:sz w:val="36"/>
          <w:szCs w:val="36"/>
        </w:rPr>
      </w:pPr>
      <w:r>
        <w:rPr>
          <w:rFonts w:cs="楷体_GB2312" w:asciiTheme="minorEastAsia" w:hAnsiTheme="minorEastAsia" w:eastAsiaTheme="minorEastAsia"/>
          <w:sz w:val="36"/>
          <w:szCs w:val="36"/>
        </w:rPr>
        <w:t xml:space="preserve">    </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（供应商名称）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            </w:t>
      </w:r>
    </w:p>
    <w:p>
      <w:pPr>
        <w:pStyle w:val="5"/>
        <w:bidi w:val="0"/>
        <w:spacing w:line="240" w:lineRule="auto"/>
        <w:rPr>
          <w:rFonts w:hint="eastAsia" w:ascii="宋体" w:hAnsi="宋体" w:eastAsia="宋体" w:cs="宋体"/>
          <w:sz w:val="24"/>
          <w:szCs w:val="24"/>
          <w:highlight w:val="none"/>
        </w:rPr>
      </w:pPr>
      <w:bookmarkStart w:id="44" w:name="_Toc27285"/>
      <w:r>
        <w:rPr>
          <w:rFonts w:hint="eastAsia" w:ascii="宋体" w:hAnsi="宋体" w:eastAsia="宋体" w:cs="宋体"/>
          <w:sz w:val="24"/>
          <w:szCs w:val="24"/>
          <w:highlight w:val="none"/>
        </w:rPr>
        <w:t>响应文件目录</w:t>
      </w:r>
      <w:bookmarkEnd w:id="44"/>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承诺书</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首轮竞价一览表</w:t>
      </w:r>
      <w:r>
        <w:rPr>
          <w:rFonts w:hint="eastAsia" w:ascii="宋体" w:hAnsi="宋体" w:eastAsia="宋体" w:cs="宋体"/>
          <w:sz w:val="24"/>
          <w:szCs w:val="24"/>
          <w:highlight w:val="none"/>
        </w:rPr>
        <w:t xml:space="preserve"> </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授权委托书</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供应商基本情况表</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提供具有独立承担民事责任的能力的证明材料</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提供具有良好的商业信誉和健全的财务会计制度的证明材料</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提供依法缴纳税收和社会保障资金的良好记录</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具有履行合同所必须的设备和专业技术能力的声明  </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参加政府采购前三年内在经营活动中无重大违法记录书面声明</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联合体协议书</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w:t>
      </w:r>
    </w:p>
    <w:p>
      <w:pPr>
        <w:keepNext w:val="0"/>
        <w:keepLines w:val="0"/>
        <w:pageBreakBefore w:val="0"/>
        <w:widowControl w:val="0"/>
        <w:numPr>
          <w:ilvl w:val="0"/>
          <w:numId w:val="8"/>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监狱企业</w:t>
      </w:r>
    </w:p>
    <w:p>
      <w:pPr>
        <w:keepNext w:val="0"/>
        <w:keepLines w:val="0"/>
        <w:pageBreakBefore w:val="0"/>
        <w:widowControl w:val="0"/>
        <w:numPr>
          <w:ilvl w:val="0"/>
          <w:numId w:val="8"/>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残疾人福利性单位声明函</w:t>
      </w:r>
    </w:p>
    <w:p>
      <w:pPr>
        <w:keepNext w:val="0"/>
        <w:keepLines w:val="0"/>
        <w:pageBreakBefore w:val="0"/>
        <w:widowControl w:val="0"/>
        <w:numPr>
          <w:ilvl w:val="0"/>
          <w:numId w:val="8"/>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主要商务要求承诺书</w:t>
      </w:r>
    </w:p>
    <w:p>
      <w:pPr>
        <w:keepNext w:val="0"/>
        <w:keepLines w:val="0"/>
        <w:pageBreakBefore w:val="0"/>
        <w:widowControl w:val="0"/>
        <w:numPr>
          <w:ilvl w:val="0"/>
          <w:numId w:val="8"/>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技术偏离表</w:t>
      </w:r>
    </w:p>
    <w:p>
      <w:pPr>
        <w:keepNext w:val="0"/>
        <w:keepLines w:val="0"/>
        <w:pageBreakBefore w:val="0"/>
        <w:widowControl w:val="0"/>
        <w:numPr>
          <w:ilvl w:val="0"/>
          <w:numId w:val="8"/>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服务方案</w:t>
      </w:r>
    </w:p>
    <w:p>
      <w:pPr>
        <w:keepNext w:val="0"/>
        <w:keepLines w:val="0"/>
        <w:pageBreakBefore w:val="0"/>
        <w:widowControl w:val="0"/>
        <w:numPr>
          <w:ilvl w:val="0"/>
          <w:numId w:val="8"/>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供应商业绩情况表</w:t>
      </w:r>
    </w:p>
    <w:p>
      <w:pPr>
        <w:keepNext w:val="0"/>
        <w:keepLines w:val="0"/>
        <w:pageBreakBefore w:val="0"/>
        <w:widowControl w:val="0"/>
        <w:numPr>
          <w:ilvl w:val="0"/>
          <w:numId w:val="8"/>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各类证明材料</w:t>
      </w: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5"/>
        <w:keepLines w:val="0"/>
        <w:pageBreakBefore w:val="0"/>
        <w:widowControl w:val="0"/>
        <w:kinsoku/>
        <w:wordWrap/>
        <w:overflowPunct/>
        <w:topLinePunct w:val="0"/>
        <w:bidi w:val="0"/>
        <w:snapToGrid/>
        <w:spacing w:line="480" w:lineRule="auto"/>
        <w:textAlignment w:val="auto"/>
        <w:rPr>
          <w:rFonts w:hint="eastAsia" w:ascii="宋体" w:hAnsi="宋体" w:eastAsia="宋体" w:cs="宋体"/>
          <w:b/>
          <w:bCs/>
          <w:sz w:val="24"/>
          <w:szCs w:val="24"/>
          <w:highlight w:val="none"/>
        </w:rPr>
      </w:pPr>
      <w:bookmarkStart w:id="45" w:name="_Toc22799"/>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承诺书</w:t>
      </w:r>
      <w:bookmarkEnd w:id="45"/>
    </w:p>
    <w:p>
      <w:pPr>
        <w:keepLines w:val="0"/>
        <w:pageBreakBefore w:val="0"/>
        <w:widowControl w:val="0"/>
        <w:kinsoku/>
        <w:wordWrap/>
        <w:overflowPunct/>
        <w:topLinePunct w:val="0"/>
        <w:bidi w:val="0"/>
        <w:snapToGrid/>
        <w:spacing w:line="480" w:lineRule="auto"/>
        <w:textAlignment w:val="auto"/>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sz w:val="24"/>
          <w:szCs w:val="24"/>
          <w:u w:val="none"/>
        </w:rPr>
        <w:t>：</w:t>
      </w:r>
      <w:r>
        <w:rPr>
          <w:rFonts w:hint="eastAsia" w:ascii="宋体" w:hAnsi="宋体" w:eastAsia="宋体" w:cs="宋体"/>
          <w:sz w:val="24"/>
          <w:szCs w:val="24"/>
        </w:rPr>
        <w:t xml:space="preserve"> </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1.按照已收到的</w:t>
      </w:r>
      <w:r>
        <w:rPr>
          <w:rFonts w:hint="eastAsia" w:ascii="宋体" w:hAnsi="宋体" w:eastAsia="宋体" w:cs="宋体"/>
          <w:sz w:val="24"/>
          <w:szCs w:val="24"/>
          <w:u w:val="single"/>
        </w:rPr>
        <w:t>国家税务总局乌拉特前旗税务局物业管理服务项目（三次）</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NMG</w:t>
      </w:r>
      <w:r>
        <w:rPr>
          <w:rFonts w:hint="eastAsia" w:ascii="宋体" w:hAnsi="宋体" w:eastAsia="宋体" w:cs="宋体"/>
          <w:sz w:val="24"/>
          <w:szCs w:val="24"/>
          <w:u w:val="single"/>
          <w:lang w:val="en-US" w:eastAsia="zh-CN"/>
        </w:rPr>
        <w:t>CB</w:t>
      </w:r>
      <w:r>
        <w:rPr>
          <w:rFonts w:hint="eastAsia" w:ascii="宋体" w:hAnsi="宋体" w:eastAsia="宋体" w:cs="宋体"/>
          <w:sz w:val="24"/>
          <w:szCs w:val="24"/>
          <w:u w:val="single"/>
          <w:lang w:val="en-US"/>
        </w:rPr>
        <w:t>-</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lang w:val="en-US"/>
        </w:rPr>
        <w:t>-</w:t>
      </w:r>
      <w:r>
        <w:rPr>
          <w:rFonts w:hint="eastAsia" w:ascii="宋体" w:hAnsi="宋体" w:eastAsia="宋体" w:cs="宋体"/>
          <w:sz w:val="24"/>
          <w:szCs w:val="24"/>
          <w:u w:val="single"/>
          <w:lang w:val="en-US" w:eastAsia="zh-CN"/>
        </w:rPr>
        <w:t>066</w:t>
      </w:r>
      <w:r>
        <w:rPr>
          <w:rFonts w:hint="eastAsia" w:ascii="宋体" w:hAnsi="宋体" w:eastAsia="宋体" w:cs="宋体"/>
          <w:sz w:val="24"/>
          <w:szCs w:val="24"/>
        </w:rPr>
        <w:t>）磋商文件要求，经我方认真研究投标须知、合同条款、技术规范、资质要求和其它有关要求后，我方愿按上述合同条款、技术规范、资质要求进行投标。我方完全接受本次磋商文件规定的所有要求，并承诺在成交后执行磋商文件、响应文件和合同的全部要求，并履行我方的全部义务。我方的最终报价为总承包价，保证不以任何理由增加报价。</w:t>
      </w:r>
    </w:p>
    <w:p>
      <w:pPr>
        <w:keepLines w:val="0"/>
        <w:pageBreakBefore w:val="0"/>
        <w:widowControl w:val="0"/>
        <w:kinsoku/>
        <w:wordWrap/>
        <w:overflowPunct/>
        <w:topLinePunct w:val="0"/>
        <w:bidi w:val="0"/>
        <w:snapToGrid/>
        <w:spacing w:line="480" w:lineRule="auto"/>
        <w:ind w:firstLine="57"/>
        <w:textAlignment w:val="auto"/>
        <w:rPr>
          <w:rFonts w:hint="eastAsia" w:ascii="宋体" w:hAnsi="宋体" w:eastAsia="宋体" w:cs="宋体"/>
          <w:sz w:val="24"/>
          <w:szCs w:val="24"/>
        </w:rPr>
      </w:pPr>
      <w:r>
        <w:rPr>
          <w:rFonts w:hint="eastAsia" w:ascii="宋体" w:hAnsi="宋体" w:eastAsia="宋体" w:cs="宋体"/>
          <w:sz w:val="24"/>
          <w:szCs w:val="24"/>
        </w:rPr>
        <w:t xml:space="preserve">    2. 我方同意磋商文件关于投标有效期的所有规定。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3. 我方郑重声明：所提供的响应文件内容全部真实有效。如经查实提供的内容、进行承诺的事项存在虚假，我方自愿接受有关处罚，及由此带来的法律后果。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4. 我方将严格遵守《中华人民共和国政府采购法》、《中华人民共和国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》等有关法律、法规规定，如有违反，无条件接受相关部门的处罚。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5. 我方同意提供</w:t>
      </w:r>
      <w:r>
        <w:rPr>
          <w:rFonts w:hint="eastAsia" w:ascii="宋体" w:hAnsi="宋体" w:eastAsia="宋体" w:cs="宋体"/>
          <w:kern w:val="0"/>
          <w:sz w:val="24"/>
          <w:szCs w:val="24"/>
        </w:rPr>
        <w:t>贵方</w:t>
      </w:r>
      <w:r>
        <w:rPr>
          <w:rFonts w:hint="eastAsia" w:ascii="宋体" w:hAnsi="宋体" w:eastAsia="宋体" w:cs="宋体"/>
          <w:sz w:val="24"/>
          <w:szCs w:val="24"/>
        </w:rPr>
        <w:t>另外要求的与其投标有关的任何数据或资料。</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6. 我方将按照磋商文件、响应文件及相关要求、规定进行合同签订，并严格执行和承担协议和合同规定的责任和义务。</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 我单位如果存在下列情形的，愿意承担取消成交资格、投标保证金不予退还、赔偿超过投标保证金金额的损失部分、接受有关监督部门处罚等后果：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（1）成交后，无正当理由放弃成交资格；</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（2）成交后，无正当理由不与招标人签订合同；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（3）在签订合同时，向招标人提出附加条件或不按照相关要求签订合同；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（4）不按照磋商文件要求提交履约保证金；</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（5）要求修改、补充和撤销响应文件的实质性内容；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（6）要求更改磋商文件和成交结果公告的实质性内容；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（7）法律法规和磋商文件规定的其他情形。</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详细地址：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邮政编码：</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电    话：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电子函件：</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 xml:space="preserve">供应商开户银行：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账号/行号：</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法定代表人或授权委托人（签字）：</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sz w:val="24"/>
          <w:szCs w:val="24"/>
          <w:lang w:eastAsia="zh-CN"/>
        </w:rPr>
        <w:t>名称</w:t>
      </w:r>
      <w:r>
        <w:rPr>
          <w:rFonts w:hint="eastAsia" w:ascii="宋体" w:hAnsi="宋体" w:eastAsia="宋体" w:cs="宋体"/>
          <w:sz w:val="24"/>
          <w:szCs w:val="24"/>
        </w:rPr>
        <w:t>（盖章）：</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right"/>
        <w:textAlignment w:val="auto"/>
        <w:rPr>
          <w:rFonts w:hint="eastAsia" w:ascii="宋体" w:hAnsi="宋体" w:eastAsia="宋体" w:cs="宋体"/>
          <w:b/>
          <w:bCs/>
          <w:kern w:val="0"/>
          <w:sz w:val="24"/>
          <w:szCs w:val="24"/>
          <w:highlight w:val="none"/>
          <w:lang w:val="zh-CN"/>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日</w:t>
      </w:r>
      <w:r>
        <w:rPr>
          <w:rFonts w:hint="eastAsia" w:ascii="宋体" w:hAnsi="宋体" w:eastAsia="宋体" w:cs="宋体"/>
          <w:sz w:val="24"/>
          <w:szCs w:val="24"/>
        </w:rPr>
        <w:br w:type="page"/>
      </w:r>
      <w:r>
        <w:rPr>
          <w:rFonts w:hint="eastAsia" w:ascii="宋体" w:hAnsi="宋体" w:eastAsia="宋体" w:cs="宋体"/>
          <w:b/>
          <w:sz w:val="24"/>
          <w:szCs w:val="24"/>
          <w:highlight w:val="none"/>
        </w:rPr>
        <w:t xml:space="preserve">                  </w:t>
      </w:r>
    </w:p>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bookmarkStart w:id="46" w:name="_Toc16964"/>
      <w:r>
        <w:rPr>
          <w:rFonts w:hint="eastAsia" w:ascii="宋体" w:hAnsi="宋体" w:eastAsia="宋体" w:cs="宋体"/>
          <w:b/>
          <w:bCs/>
          <w:sz w:val="24"/>
          <w:szCs w:val="24"/>
          <w:highlight w:val="none"/>
          <w:lang w:eastAsia="zh-CN"/>
        </w:rPr>
        <w:t>首轮竞价一览表</w:t>
      </w:r>
      <w:bookmarkEnd w:id="46"/>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bCs/>
          <w:sz w:val="24"/>
          <w:szCs w:val="24"/>
          <w:highlight w:val="none"/>
        </w:rPr>
      </w:pPr>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hAnsi="宋体" w:cs="宋体"/>
          <w:sz w:val="24"/>
          <w:szCs w:val="24"/>
          <w:highlight w:val="none"/>
          <w:u w:val="single"/>
          <w:lang w:val="en-US" w:eastAsia="zh-CN"/>
        </w:rPr>
      </w:pPr>
      <w:r>
        <w:rPr>
          <w:rFonts w:hint="eastAsia" w:ascii="宋体" w:hAnsi="宋体" w:eastAsia="宋体" w:cs="宋体"/>
          <w:sz w:val="24"/>
          <w:szCs w:val="24"/>
          <w:highlight w:val="none"/>
        </w:rPr>
        <w:t>供应商名称：</w:t>
      </w:r>
      <w:r>
        <w:rPr>
          <w:rFonts w:hint="eastAsia" w:hAnsi="宋体" w:cs="宋体"/>
          <w:sz w:val="24"/>
          <w:szCs w:val="24"/>
          <w:highlight w:val="none"/>
          <w:u w:val="single"/>
          <w:lang w:val="en-US" w:eastAsia="zh-CN"/>
        </w:rPr>
        <w:t xml:space="preserve">                                   </w:t>
      </w:r>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项目名称：国家税务总局乌拉特前旗税务局物业管理服务项目（三次）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val="en-US"/>
        </w:rPr>
        <w:t>NMG</w:t>
      </w:r>
      <w:r>
        <w:rPr>
          <w:rFonts w:hint="eastAsia" w:ascii="宋体" w:hAnsi="宋体" w:eastAsia="宋体" w:cs="宋体"/>
          <w:sz w:val="24"/>
          <w:szCs w:val="24"/>
          <w:highlight w:val="none"/>
          <w:lang w:val="en-US" w:eastAsia="zh-CN"/>
        </w:rPr>
        <w:t>CB</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val="en-US" w:eastAsia="zh-CN"/>
        </w:rPr>
        <w:t>2025</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val="en-US" w:eastAsia="zh-CN"/>
        </w:rPr>
        <w:t>066</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restart"/>
            <w:noWrap w:val="0"/>
            <w:vAlign w:val="center"/>
          </w:tcPr>
          <w:p>
            <w:pPr>
              <w:spacing w:line="360" w:lineRule="auto"/>
              <w:ind w:left="57" w:right="57" w:firstLine="57"/>
              <w:jc w:val="cente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国家税务总局乌拉特前旗税务局物业管理服务项目</w:t>
            </w:r>
          </w:p>
          <w:p>
            <w:pPr>
              <w:spacing w:line="360" w:lineRule="auto"/>
              <w:ind w:left="57" w:right="57" w:firstLine="57"/>
              <w:jc w:val="cente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（三次）</w:t>
            </w:r>
          </w:p>
          <w:p>
            <w:pPr>
              <w:spacing w:line="360" w:lineRule="auto"/>
              <w:ind w:left="57" w:right="57" w:firstLine="57"/>
              <w:jc w:val="center"/>
              <w:outlineLvl w:val="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color w:val="auto"/>
                <w:sz w:val="24"/>
                <w:szCs w:val="24"/>
                <w:highlight w:val="none"/>
              </w:rPr>
              <w:t>投标总报价</w:t>
            </w: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bookmarkStart w:id="47" w:name="_Toc22447"/>
            <w:bookmarkStart w:id="48" w:name="_Toc10284"/>
            <w:r>
              <w:rPr>
                <w:rFonts w:hint="eastAsia" w:ascii="宋体" w:hAnsi="宋体" w:eastAsia="宋体" w:cs="宋体"/>
                <w:color w:val="auto"/>
                <w:sz w:val="24"/>
                <w:szCs w:val="24"/>
                <w:highlight w:val="none"/>
              </w:rPr>
              <w:t>大写：</w:t>
            </w:r>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continue"/>
            <w:noWrap w:val="0"/>
            <w:vAlign w:val="center"/>
          </w:tcPr>
          <w:p>
            <w:pPr>
              <w:spacing w:line="360" w:lineRule="auto"/>
              <w:ind w:left="57" w:right="57" w:firstLine="57"/>
              <w:jc w:val="center"/>
              <w:outlineLvl w:val="9"/>
              <w:rPr>
                <w:rFonts w:hint="eastAsia" w:ascii="宋体" w:hAnsi="宋体" w:eastAsia="宋体" w:cs="宋体"/>
                <w:color w:val="auto"/>
                <w:sz w:val="24"/>
                <w:szCs w:val="24"/>
                <w:highlight w:val="none"/>
              </w:rPr>
            </w:pP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bookmarkStart w:id="49" w:name="_Toc3451"/>
            <w:bookmarkStart w:id="50" w:name="_Toc195"/>
            <w:r>
              <w:rPr>
                <w:rFonts w:hint="eastAsia" w:ascii="宋体" w:hAnsi="宋体" w:eastAsia="宋体" w:cs="宋体"/>
                <w:color w:val="auto"/>
                <w:sz w:val="24"/>
                <w:szCs w:val="24"/>
                <w:highlight w:val="none"/>
              </w:rPr>
              <w:t>小写：</w:t>
            </w:r>
            <w:bookmarkEnd w:id="49"/>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w:t>
            </w:r>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说明：1．</w:t>
      </w:r>
      <w:r>
        <w:rPr>
          <w:rFonts w:hint="eastAsia" w:ascii="宋体" w:hAnsi="宋体" w:eastAsia="宋体" w:cs="宋体"/>
          <w:color w:val="auto"/>
          <w:sz w:val="24"/>
          <w:szCs w:val="24"/>
          <w:highlight w:val="none"/>
        </w:rPr>
        <w:t>所有价格均系用人民币表示，单位为元，精确到小数点后两位数。</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2．价格应按照“供应商须知”的要求报价。</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3．格式、内容和签署、盖章必须完整。</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60" w:lineRule="auto"/>
        <w:ind w:right="960" w:firstLine="720" w:firstLineChars="3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法定代表人或授权委托人（签字）：</w:t>
      </w:r>
    </w:p>
    <w:p>
      <w:pPr>
        <w:keepNext w:val="0"/>
        <w:keepLines w:val="0"/>
        <w:pageBreakBefore w:val="0"/>
        <w:widowControl w:val="0"/>
        <w:kinsoku/>
        <w:wordWrap/>
        <w:overflowPunct/>
        <w:topLinePunct w:val="0"/>
        <w:autoSpaceDE w:val="0"/>
        <w:autoSpaceDN w:val="0"/>
        <w:bidi w:val="0"/>
        <w:adjustRightInd w:val="0"/>
        <w:snapToGrid/>
        <w:spacing w:line="360" w:lineRule="auto"/>
        <w:ind w:right="246"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lang w:eastAsia="zh-CN"/>
        </w:rPr>
        <w:t>名称</w:t>
      </w:r>
      <w:r>
        <w:rPr>
          <w:rFonts w:hint="eastAsia" w:ascii="宋体" w:hAnsi="宋体" w:eastAsia="宋体" w:cs="宋体"/>
          <w:sz w:val="24"/>
          <w:szCs w:val="24"/>
          <w:highlight w:val="none"/>
        </w:rPr>
        <w:t>（盖章）：</w:t>
      </w:r>
    </w:p>
    <w:p>
      <w:pPr>
        <w:pStyle w:val="31"/>
        <w:rPr>
          <w:rFonts w:hint="eastAsia"/>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pPr>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bCs/>
          <w:color w:val="auto"/>
          <w:kern w:val="0"/>
          <w:sz w:val="24"/>
          <w:szCs w:val="24"/>
          <w:highlight w:val="none"/>
          <w:lang w:val="en-US" w:eastAsia="zh-CN" w:bidi="ar-SA"/>
        </w:rPr>
      </w:pPr>
      <w:bookmarkStart w:id="51" w:name="_Toc23253_WPSOffice_Level2"/>
      <w:r>
        <w:rPr>
          <w:rFonts w:hint="eastAsia" w:ascii="宋体" w:hAnsi="宋体" w:eastAsia="宋体" w:cs="宋体"/>
          <w:b/>
          <w:bCs/>
          <w:color w:val="auto"/>
          <w:kern w:val="0"/>
          <w:sz w:val="24"/>
          <w:szCs w:val="24"/>
          <w:highlight w:val="none"/>
          <w:lang w:val="en-US" w:eastAsia="zh-CN" w:bidi="ar-SA"/>
        </w:rPr>
        <w:t>二轮磋商报价表</w:t>
      </w:r>
      <w:bookmarkEnd w:id="51"/>
    </w:p>
    <w:p>
      <w:pPr>
        <w:pStyle w:val="18"/>
        <w:spacing w:line="360" w:lineRule="auto"/>
        <w:ind w:left="57" w:right="57" w:firstLine="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（加盖公章）</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sz w:val="24"/>
          <w:szCs w:val="24"/>
          <w:highlight w:val="none"/>
        </w:rPr>
        <w:t>国家税务总局乌拉特前旗税务局物业管理服务项目（三次）</w:t>
      </w:r>
      <w:r>
        <w:rPr>
          <w:rFonts w:hint="eastAsia" w:ascii="宋体" w:hAnsi="宋体" w:eastAsia="宋体" w:cs="宋体"/>
          <w:color w:val="auto"/>
          <w:sz w:val="24"/>
          <w:szCs w:val="24"/>
          <w:highlight w:val="none"/>
        </w:rPr>
        <w:t xml:space="preserve">                          </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sz w:val="24"/>
          <w:szCs w:val="24"/>
          <w:highlight w:val="none"/>
          <w:lang w:val="en-US"/>
        </w:rPr>
        <w:t>NMG</w:t>
      </w:r>
      <w:r>
        <w:rPr>
          <w:rFonts w:hint="eastAsia" w:ascii="宋体" w:hAnsi="宋体" w:eastAsia="宋体" w:cs="宋体"/>
          <w:sz w:val="24"/>
          <w:szCs w:val="24"/>
          <w:highlight w:val="none"/>
          <w:lang w:val="en-US" w:eastAsia="zh-CN"/>
        </w:rPr>
        <w:t>CB</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val="en-US" w:eastAsia="zh-CN"/>
        </w:rPr>
        <w:t>2025</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val="en-US" w:eastAsia="zh-CN"/>
        </w:rPr>
        <w:t>066</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restart"/>
            <w:noWrap w:val="0"/>
            <w:vAlign w:val="center"/>
          </w:tcPr>
          <w:p>
            <w:pPr>
              <w:spacing w:line="360" w:lineRule="auto"/>
              <w:ind w:left="57" w:right="57" w:firstLine="57"/>
              <w:jc w:val="cente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国家税务总局乌拉特前旗税务局物业管理服务项目</w:t>
            </w:r>
          </w:p>
          <w:p>
            <w:pPr>
              <w:spacing w:line="360" w:lineRule="auto"/>
              <w:ind w:left="57" w:right="57" w:firstLine="57"/>
              <w:jc w:val="cente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（三次）</w:t>
            </w:r>
          </w:p>
          <w:p>
            <w:pPr>
              <w:spacing w:line="360" w:lineRule="auto"/>
              <w:ind w:left="57" w:right="57" w:firstLine="57"/>
              <w:jc w:val="center"/>
              <w:outlineLvl w:val="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color w:val="auto"/>
                <w:sz w:val="24"/>
                <w:szCs w:val="24"/>
                <w:highlight w:val="none"/>
              </w:rPr>
              <w:t>投标总报价</w:t>
            </w: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continue"/>
            <w:noWrap w:val="0"/>
            <w:vAlign w:val="center"/>
          </w:tcPr>
          <w:p>
            <w:pPr>
              <w:spacing w:line="360" w:lineRule="auto"/>
              <w:ind w:left="57" w:right="57" w:firstLine="57"/>
              <w:jc w:val="center"/>
              <w:outlineLvl w:val="9"/>
              <w:rPr>
                <w:rFonts w:hint="eastAsia" w:ascii="宋体" w:hAnsi="宋体" w:eastAsia="宋体" w:cs="宋体"/>
                <w:color w:val="auto"/>
                <w:sz w:val="24"/>
                <w:szCs w:val="24"/>
                <w:highlight w:val="none"/>
              </w:rPr>
            </w:pP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bookmarkStart w:id="52" w:name="_Toc20575"/>
            <w:r>
              <w:rPr>
                <w:rFonts w:hint="eastAsia" w:ascii="宋体" w:hAnsi="宋体" w:cs="宋体"/>
                <w:color w:val="auto"/>
                <w:sz w:val="24"/>
                <w:szCs w:val="24"/>
                <w:highlight w:val="none"/>
                <w:lang w:val="en-US" w:eastAsia="zh-CN"/>
              </w:rPr>
              <w:t>服务期</w:t>
            </w:r>
            <w:bookmarkEnd w:id="52"/>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adjustRightInd w:val="0"/>
        <w:snapToGrid w:val="0"/>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说明：1．所有价格均系用人民币表示，单位为元，精确到小数点后两位数。</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．价格应按照“投标须知”的要求报价。</w:t>
      </w:r>
    </w:p>
    <w:p>
      <w:pPr>
        <w:spacing w:line="360" w:lineRule="auto"/>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．此表</w:t>
      </w:r>
      <w:r>
        <w:rPr>
          <w:rFonts w:hint="eastAsia" w:ascii="宋体" w:hAnsi="宋体" w:eastAsia="宋体" w:cs="宋体"/>
          <w:b/>
          <w:bCs/>
          <w:color w:val="auto"/>
          <w:sz w:val="24"/>
          <w:szCs w:val="24"/>
          <w:highlight w:val="none"/>
          <w:lang w:eastAsia="zh-CN"/>
        </w:rPr>
        <w:t>为</w:t>
      </w:r>
      <w:r>
        <w:rPr>
          <w:rFonts w:hint="eastAsia" w:ascii="宋体" w:hAnsi="宋体" w:eastAsia="宋体" w:cs="宋体"/>
          <w:b/>
          <w:bCs/>
          <w:color w:val="auto"/>
          <w:sz w:val="24"/>
          <w:szCs w:val="24"/>
          <w:highlight w:val="none"/>
          <w:lang w:val="en-US" w:eastAsia="zh-CN"/>
        </w:rPr>
        <w:t>空表，加</w:t>
      </w:r>
      <w:r>
        <w:rPr>
          <w:rFonts w:hint="eastAsia" w:ascii="宋体" w:hAnsi="宋体" w:eastAsia="宋体" w:cs="宋体"/>
          <w:b/>
          <w:bCs/>
          <w:color w:val="auto"/>
          <w:sz w:val="24"/>
          <w:szCs w:val="24"/>
          <w:highlight w:val="none"/>
        </w:rPr>
        <w:t>盖公章</w:t>
      </w:r>
      <w:r>
        <w:rPr>
          <w:rFonts w:hint="eastAsia" w:ascii="宋体" w:hAnsi="宋体" w:eastAsia="宋体" w:cs="宋体"/>
          <w:b/>
          <w:bCs/>
          <w:color w:val="auto"/>
          <w:sz w:val="24"/>
          <w:szCs w:val="24"/>
          <w:highlight w:val="none"/>
          <w:lang w:eastAsia="zh-CN"/>
        </w:rPr>
        <w:t>后，由授权委托人手持</w:t>
      </w:r>
      <w:r>
        <w:rPr>
          <w:rFonts w:hint="eastAsia" w:ascii="宋体" w:hAnsi="宋体" w:eastAsia="宋体" w:cs="宋体"/>
          <w:b/>
          <w:bCs/>
          <w:color w:val="auto"/>
          <w:sz w:val="24"/>
          <w:szCs w:val="24"/>
          <w:highlight w:val="none"/>
        </w:rPr>
        <w:t>，在开标现场填写，进行第</w:t>
      </w:r>
      <w:r>
        <w:rPr>
          <w:rFonts w:hint="eastAsia" w:ascii="宋体" w:hAnsi="宋体" w:eastAsia="宋体" w:cs="宋体"/>
          <w:b/>
          <w:bCs/>
          <w:color w:val="auto"/>
          <w:sz w:val="24"/>
          <w:szCs w:val="24"/>
          <w:highlight w:val="none"/>
          <w:lang w:val="en-US" w:eastAsia="zh-CN"/>
        </w:rPr>
        <w:t>二次</w:t>
      </w:r>
      <w:r>
        <w:rPr>
          <w:rFonts w:hint="eastAsia" w:ascii="宋体" w:hAnsi="宋体" w:eastAsia="宋体" w:cs="宋体"/>
          <w:b/>
          <w:bCs/>
          <w:color w:val="auto"/>
          <w:sz w:val="24"/>
          <w:szCs w:val="24"/>
          <w:highlight w:val="none"/>
        </w:rPr>
        <w:t>最终报价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响应文件中无需提供</w:t>
      </w:r>
      <w:r>
        <w:rPr>
          <w:rFonts w:hint="eastAsia" w:ascii="宋体" w:hAnsi="宋体" w:eastAsia="宋体" w:cs="宋体"/>
          <w:b/>
          <w:bCs/>
          <w:color w:val="auto"/>
          <w:sz w:val="24"/>
          <w:szCs w:val="24"/>
          <w:highlight w:val="none"/>
        </w:rPr>
        <w:t>。</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．优惠承诺属于服务评审内容。如中标，优惠承诺将列入合同条款。</w:t>
      </w:r>
    </w:p>
    <w:p>
      <w:pPr>
        <w:spacing w:line="360" w:lineRule="auto"/>
        <w:ind w:firstLine="720" w:firstLineChars="300"/>
        <w:jc w:val="center"/>
        <w:rPr>
          <w:rFonts w:hint="eastAsia" w:ascii="宋体" w:hAnsi="宋体" w:eastAsia="宋体" w:cs="宋体"/>
          <w:color w:val="auto"/>
          <w:sz w:val="24"/>
          <w:szCs w:val="24"/>
          <w:highlight w:val="none"/>
        </w:rPr>
      </w:pPr>
    </w:p>
    <w:p>
      <w:pPr>
        <w:spacing w:line="360" w:lineRule="auto"/>
        <w:ind w:left="4072" w:leftChars="340" w:hanging="3120" w:hangingChars="13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53" w:name="_Toc10497_WPSOffice_Level2"/>
      <w:r>
        <w:rPr>
          <w:rFonts w:hint="eastAsia" w:ascii="宋体" w:hAnsi="宋体" w:eastAsia="宋体" w:cs="宋体"/>
          <w:color w:val="auto"/>
          <w:sz w:val="24"/>
          <w:szCs w:val="24"/>
          <w:highlight w:val="none"/>
        </w:rPr>
        <w:t>法定代表人或法人授权代表（签字）：</w:t>
      </w:r>
      <w:bookmarkEnd w:id="53"/>
      <w:r>
        <w:rPr>
          <w:rFonts w:hint="eastAsia" w:ascii="宋体" w:hAnsi="宋体" w:eastAsia="宋体" w:cs="宋体"/>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bookmarkStart w:id="54" w:name="_Toc24510"/>
      <w:r>
        <w:rPr>
          <w:rFonts w:hint="eastAsia" w:ascii="宋体" w:hAnsi="宋体" w:eastAsia="宋体" w:cs="宋体"/>
          <w:b w:val="0"/>
          <w:bCs w:val="0"/>
          <w:color w:val="auto"/>
          <w:sz w:val="24"/>
          <w:szCs w:val="24"/>
          <w:highlight w:val="none"/>
        </w:rPr>
        <w:t>年    月     日</w:t>
      </w:r>
      <w:bookmarkEnd w:id="54"/>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55" w:name="_Toc496001220"/>
      <w:bookmarkStart w:id="56" w:name="_Toc482026549"/>
    </w:p>
    <w:bookmarkEnd w:id="55"/>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57" w:name="_Toc28121"/>
      <w:r>
        <w:rPr>
          <w:rFonts w:hint="eastAsia" w:ascii="宋体" w:hAnsi="宋体" w:eastAsia="宋体" w:cs="宋体"/>
          <w:b/>
          <w:bCs/>
          <w:color w:val="auto"/>
          <w:sz w:val="24"/>
          <w:szCs w:val="24"/>
          <w:highlight w:val="none"/>
        </w:rPr>
        <w:t>授权委托书</w:t>
      </w:r>
      <w:bookmarkEnd w:id="57"/>
    </w:p>
    <w:p>
      <w:pPr>
        <w:keepLines w:val="0"/>
        <w:pageBreakBefore w:val="0"/>
        <w:widowControl w:val="0"/>
        <w:kinsoku/>
        <w:wordWrap/>
        <w:overflowPunct/>
        <w:topLinePunct w:val="0"/>
        <w:autoSpaceDE/>
        <w:autoSpaceDN/>
        <w:bidi w:val="0"/>
        <w:adjustRightInd/>
        <w:snapToGrid/>
        <w:spacing w:line="360" w:lineRule="auto"/>
        <w:ind w:firstLine="5160" w:firstLineChars="21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本人__________（姓名）系_________________（供应商名称）的法定代表人，现委托_________________（姓名）为我方代理人。代理人根据授权，以我方名义签署、澄清确认、递 交、撤回、修改招标项目响应文件、签订合同和处理有关事宜，其法律后果由我方承担。委托期限：_________________。</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：_________________（加盖公章）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法定代表人：_________________（签字）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授权委托人：_________________（签字） </w:t>
      </w:r>
    </w:p>
    <w:p>
      <w:pPr>
        <w:spacing w:line="360" w:lineRule="auto"/>
        <w:ind w:firstLine="480" w:firstLineChars="200"/>
        <w:rPr>
          <w:rFonts w:hint="eastAsia" w:ascii="宋体" w:hAnsi="宋体" w:eastAsia="宋体" w:cs="宋体"/>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color w:val="auto"/>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18"/>
        <w:spacing w:line="360" w:lineRule="auto"/>
        <w:ind w:right="57"/>
        <w:jc w:val="right"/>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360" w:lineRule="auto"/>
        <w:rPr>
          <w:rFonts w:hint="eastAsia" w:ascii="宋体" w:hAnsi="宋体" w:eastAsia="宋体" w:cs="宋体"/>
          <w:sz w:val="24"/>
          <w:szCs w:val="24"/>
        </w:rPr>
      </w:pPr>
    </w:p>
    <w:p>
      <w:pPr>
        <w:pStyle w:val="5"/>
        <w:bidi w:val="0"/>
        <w:spacing w:line="360" w:lineRule="auto"/>
        <w:rPr>
          <w:rFonts w:hint="eastAsia" w:ascii="宋体" w:hAnsi="宋体" w:eastAsia="宋体" w:cs="宋体"/>
          <w:sz w:val="24"/>
          <w:szCs w:val="24"/>
          <w:highlight w:val="none"/>
        </w:rPr>
      </w:pPr>
      <w:bookmarkStart w:id="58" w:name="_Toc20253"/>
      <w:r>
        <w:rPr>
          <w:rFonts w:hint="eastAsia" w:ascii="宋体" w:hAnsi="宋体" w:eastAsia="宋体" w:cs="宋体"/>
          <w:b/>
          <w:bCs/>
          <w:sz w:val="24"/>
          <w:szCs w:val="24"/>
          <w:highlight w:val="none"/>
          <w:lang w:val="zh-CN"/>
        </w:rPr>
        <w:t>供应商基本情况表</w:t>
      </w:r>
      <w:bookmarkEnd w:id="58"/>
    </w:p>
    <w:tbl>
      <w:tblPr>
        <w:tblStyle w:val="33"/>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079"/>
        <w:gridCol w:w="2950"/>
        <w:gridCol w:w="2079"/>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供应商名称</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所有制性质</w:t>
            </w:r>
          </w:p>
        </w:tc>
        <w:tc>
          <w:tcPr>
            <w:tcW w:w="2973"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sz w:val="24"/>
                <w:szCs w:val="24"/>
                <w:highlight w:val="none"/>
                <w:lang w:val="en-US"/>
              </w:rPr>
            </w:pPr>
          </w:p>
        </w:tc>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注册资金</w:t>
            </w:r>
          </w:p>
        </w:tc>
        <w:tc>
          <w:tcPr>
            <w:tcW w:w="2774"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注册时间</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法定代表人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员工总数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联系电话</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开户银行账号</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5"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主营范围：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8"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注：投标单位须在该表后附法人或其他组织的营业执照副本、自然人的身份证明及招标公告中供应商资质要求的其他资质证明等。</w:t>
            </w:r>
          </w:p>
        </w:tc>
      </w:tr>
    </w:tbl>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备注：本表后应附企业法人营业执照及其年检合格的证明材料等材料的复印件。</w:t>
      </w:r>
      <w:r>
        <w:rPr>
          <w:rFonts w:hint="eastAsia" w:ascii="宋体" w:hAnsi="宋体" w:eastAsia="宋体" w:cs="宋体"/>
          <w:sz w:val="24"/>
          <w:szCs w:val="24"/>
        </w:rPr>
        <w:br w:type="page"/>
      </w:r>
    </w:p>
    <w:p>
      <w:pPr>
        <w:pStyle w:val="5"/>
        <w:bidi w:val="0"/>
        <w:spacing w:line="480" w:lineRule="auto"/>
        <w:rPr>
          <w:rFonts w:hint="eastAsia" w:ascii="宋体" w:hAnsi="宋体" w:eastAsia="宋体" w:cs="宋体"/>
          <w:b/>
          <w:bCs/>
          <w:sz w:val="24"/>
          <w:szCs w:val="24"/>
          <w:lang w:val="en-US" w:eastAsia="zh-CN"/>
        </w:rPr>
      </w:pPr>
      <w:bookmarkStart w:id="59" w:name="_Toc16729"/>
      <w:r>
        <w:rPr>
          <w:rFonts w:hint="eastAsia" w:ascii="宋体" w:hAnsi="宋体" w:eastAsia="宋体" w:cs="宋体"/>
          <w:b/>
          <w:bCs/>
          <w:sz w:val="24"/>
          <w:szCs w:val="24"/>
          <w:lang w:val="en-US" w:eastAsia="zh-CN"/>
        </w:rPr>
        <w:t>提供具有独立承担民事责任的能力的证明材料</w:t>
      </w:r>
      <w:bookmarkEnd w:id="59"/>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附供应商营业执照副本扫描件</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kern w:val="2"/>
          <w:sz w:val="24"/>
          <w:szCs w:val="24"/>
          <w:highlight w:val="none"/>
          <w:lang w:val="zh-CN" w:eastAsia="zh-CN" w:bidi="ar-SA"/>
        </w:rPr>
        <w:t>。</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5"/>
        <w:keepLines w:val="0"/>
        <w:pageBreakBefore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val="0"/>
          <w:bCs w:val="0"/>
          <w:sz w:val="24"/>
          <w:szCs w:val="24"/>
          <w:lang w:val="en-US" w:eastAsia="zh-CN"/>
        </w:rPr>
      </w:pPr>
      <w:bookmarkStart w:id="60" w:name="_Toc15113"/>
      <w:r>
        <w:rPr>
          <w:rFonts w:hint="eastAsia" w:ascii="宋体" w:hAnsi="宋体" w:eastAsia="宋体" w:cs="宋体"/>
          <w:b/>
          <w:bCs/>
          <w:sz w:val="24"/>
          <w:szCs w:val="24"/>
          <w:highlight w:val="none"/>
        </w:rPr>
        <w:t>提供具有良好的商业信誉和健全的财务会计制度的证明材料</w:t>
      </w:r>
      <w:bookmarkEnd w:id="60"/>
    </w:p>
    <w:p>
      <w:pPr>
        <w:bidi w:val="0"/>
        <w:spacing w:line="60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cs="宋体"/>
          <w:sz w:val="24"/>
          <w:szCs w:val="24"/>
          <w:lang w:val="en-US" w:eastAsia="zh-CN"/>
        </w:rPr>
        <w:t>2024</w:t>
      </w:r>
      <w:r>
        <w:rPr>
          <w:rFonts w:hint="eastAsia" w:ascii="宋体" w:hAnsi="宋体" w:eastAsia="宋体" w:cs="宋体"/>
          <w:sz w:val="24"/>
          <w:szCs w:val="24"/>
          <w:lang w:val="en-US" w:eastAsia="zh-CN"/>
        </w:rPr>
        <w:t>年度经会计师事务所出具的财务审计报告或其基本开户银行出具的近一年内的银行资信证明。（供应商的成立时间不足一年的，应提供成立以来的财务报表）</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pStyle w:val="5"/>
        <w:bidi w:val="0"/>
        <w:spacing w:line="600" w:lineRule="auto"/>
        <w:rPr>
          <w:rFonts w:hint="eastAsia" w:ascii="宋体" w:hAnsi="宋体" w:eastAsia="宋体" w:cs="宋体"/>
          <w:b/>
          <w:bCs/>
          <w:sz w:val="24"/>
          <w:szCs w:val="24"/>
          <w:highlight w:val="none"/>
          <w:lang w:val="en-US" w:eastAsia="zh-CN"/>
        </w:rPr>
      </w:pPr>
      <w:bookmarkStart w:id="61" w:name="_Toc5761"/>
      <w:r>
        <w:rPr>
          <w:rFonts w:hint="eastAsia" w:ascii="宋体" w:hAnsi="宋体" w:eastAsia="宋体" w:cs="宋体"/>
          <w:b/>
          <w:bCs/>
          <w:sz w:val="24"/>
          <w:szCs w:val="24"/>
          <w:highlight w:val="none"/>
          <w:lang w:val="en-US" w:eastAsia="zh-CN"/>
        </w:rPr>
        <w:t>提供依法缴纳税收和社会保障资金的良好记录</w:t>
      </w:r>
      <w:bookmarkEnd w:id="61"/>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提供递交响应文件截止之日前一年内（至少一个月）依法缴纳税收的凭证或依法缴纳税收承诺函和缴纳社会保险的凭证或依法缴纳社保的资金保障的相关承诺函；（承诺函格式自拟）</w:t>
      </w:r>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注：其他组织和自然人也需要提供缴纳税收的凭据金额缴纳社保的凭据。依法免税或不需要缴纳社会保障资金的投标人，应提供相应文件证明其依法免税或不需要缴纳社会保障资金。</w:t>
      </w:r>
      <w:r>
        <w:rPr>
          <w:rFonts w:hint="eastAsia" w:ascii="宋体" w:hAnsi="宋体" w:eastAsia="宋体" w:cs="宋体"/>
          <w:sz w:val="24"/>
          <w:szCs w:val="24"/>
        </w:rPr>
        <w:br w:type="page"/>
      </w:r>
    </w:p>
    <w:p>
      <w:pPr>
        <w:pStyle w:val="5"/>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b/>
          <w:bCs/>
          <w:sz w:val="24"/>
          <w:szCs w:val="24"/>
          <w:highlight w:val="none"/>
        </w:rPr>
      </w:pPr>
      <w:bookmarkStart w:id="62" w:name="_Toc15730"/>
      <w:r>
        <w:rPr>
          <w:rFonts w:hint="eastAsia" w:ascii="宋体" w:hAnsi="宋体" w:eastAsia="宋体" w:cs="宋体"/>
          <w:b/>
          <w:bCs/>
          <w:sz w:val="24"/>
          <w:szCs w:val="24"/>
          <w:highlight w:val="none"/>
        </w:rPr>
        <w:t>具有履行合同所必须的设备和专业技术能力的声明</w:t>
      </w:r>
      <w:bookmarkEnd w:id="62"/>
    </w:p>
    <w:p>
      <w:pPr>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我公司具备履行本次投标项目合同所必须的设备和专业技术能力。</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6240" w:firstLineChars="26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供应商名称：（加盖公章） </w:t>
      </w:r>
    </w:p>
    <w:p>
      <w:pPr>
        <w:keepLines w:val="0"/>
        <w:pageBreakBefore w:val="0"/>
        <w:widowControl/>
        <w:kinsoku/>
        <w:wordWrap/>
        <w:overflowPunct/>
        <w:topLinePunct w:val="0"/>
        <w:bidi w:val="0"/>
        <w:snapToGrid/>
        <w:spacing w:line="60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600" w:lineRule="auto"/>
        <w:rPr>
          <w:rFonts w:hint="eastAsia" w:ascii="宋体" w:hAnsi="宋体" w:eastAsia="宋体" w:cs="宋体"/>
          <w:sz w:val="24"/>
          <w:szCs w:val="24"/>
          <w:highlight w:val="none"/>
        </w:rPr>
      </w:pPr>
      <w:bookmarkStart w:id="63" w:name="_Toc9157"/>
      <w:r>
        <w:rPr>
          <w:rFonts w:hint="eastAsia" w:ascii="宋体" w:hAnsi="宋体" w:eastAsia="宋体" w:cs="宋体"/>
          <w:b/>
          <w:bCs/>
          <w:sz w:val="24"/>
          <w:szCs w:val="24"/>
          <w:highlight w:val="none"/>
        </w:rPr>
        <w:t>参加政府采购前三年内在经营活动中无重大违法记录书面声明</w:t>
      </w:r>
      <w:bookmarkEnd w:id="63"/>
    </w:p>
    <w:p>
      <w:pPr>
        <w:spacing w:line="600" w:lineRule="auto"/>
        <w:ind w:firstLine="1440" w:firstLineChars="600"/>
        <w:rPr>
          <w:rFonts w:hint="eastAsia" w:ascii="宋体" w:hAnsi="宋体" w:eastAsia="宋体" w:cs="宋体"/>
          <w:kern w:val="0"/>
          <w:sz w:val="24"/>
          <w:szCs w:val="24"/>
          <w:highlight w:val="none"/>
        </w:rPr>
      </w:pPr>
    </w:p>
    <w:p>
      <w:pPr>
        <w:autoSpaceDE w:val="0"/>
        <w:autoSpaceDN w:val="0"/>
        <w:spacing w:line="600" w:lineRule="auto"/>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kern w:val="0"/>
          <w:sz w:val="24"/>
          <w:szCs w:val="24"/>
          <w:highlight w:val="none"/>
          <w:lang w:eastAsia="zh-CN"/>
        </w:rPr>
        <w:t>　</w:t>
      </w:r>
      <w:r>
        <w:rPr>
          <w:rFonts w:hint="eastAsia" w:ascii="宋体" w:hAnsi="宋体" w:eastAsia="宋体" w:cs="宋体"/>
          <w:kern w:val="0"/>
          <w:sz w:val="24"/>
          <w:szCs w:val="24"/>
          <w:highlight w:val="none"/>
        </w:rPr>
        <w:t>：</w:t>
      </w:r>
    </w:p>
    <w:p>
      <w:pPr>
        <w:tabs>
          <w:tab w:val="left" w:pos="8820"/>
        </w:tabs>
        <w:autoSpaceDE w:val="0"/>
        <w:autoSpaceDN w:val="0"/>
        <w:spacing w:line="600" w:lineRule="auto"/>
        <w:ind w:firstLine="5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我公司自愿参加本次政府采购活动</w:t>
      </w:r>
      <w:r>
        <w:rPr>
          <w:rFonts w:hint="eastAsia" w:ascii="宋体" w:hAnsi="宋体" w:eastAsia="宋体" w:cs="宋体"/>
          <w:kern w:val="0"/>
          <w:sz w:val="24"/>
          <w:szCs w:val="24"/>
          <w:highlight w:val="none"/>
          <w:u w:val="single"/>
          <w:lang w:val="en-US" w:eastAsia="zh-CN"/>
        </w:rPr>
        <w:t>国家税务总局乌拉特前旗税务局物业管理服务项目（三次）</w:t>
      </w:r>
      <w:r>
        <w:rPr>
          <w:rFonts w:hint="eastAsia" w:ascii="宋体" w:hAnsi="宋体" w:eastAsia="宋体" w:cs="宋体"/>
          <w:kern w:val="0"/>
          <w:sz w:val="24"/>
          <w:szCs w:val="24"/>
          <w:highlight w:val="none"/>
        </w:rPr>
        <w:t>，严格遵守《中华人民共和国政府采购法》、《政府采购法实施条例》及所有相关法律、法规和规定，同时声明：在参加此次政府采购活动前三年内，本公司在经营活动中无重大违法记录</w:t>
      </w:r>
      <w:r>
        <w:rPr>
          <w:rFonts w:hint="eastAsia" w:ascii="宋体" w:hAnsi="宋体" w:eastAsia="宋体" w:cs="宋体"/>
          <w:sz w:val="24"/>
          <w:szCs w:val="24"/>
          <w:highlight w:val="none"/>
        </w:rPr>
        <w:t>。</w:t>
      </w:r>
    </w:p>
    <w:p>
      <w:pPr>
        <w:tabs>
          <w:tab w:val="left" w:pos="8820"/>
        </w:tabs>
        <w:autoSpaceDE w:val="0"/>
        <w:autoSpaceDN w:val="0"/>
        <w:spacing w:line="600" w:lineRule="auto"/>
        <w:ind w:firstLine="560"/>
        <w:rPr>
          <w:rFonts w:hint="eastAsia" w:ascii="宋体" w:hAnsi="宋体" w:eastAsia="宋体" w:cs="宋体"/>
          <w:sz w:val="24"/>
          <w:szCs w:val="24"/>
          <w:highlight w:val="none"/>
        </w:rPr>
      </w:pPr>
    </w:p>
    <w:p>
      <w:pPr>
        <w:tabs>
          <w:tab w:val="left" w:pos="8820"/>
        </w:tabs>
        <w:autoSpaceDE w:val="0"/>
        <w:autoSpaceDN w:val="0"/>
        <w:spacing w:line="60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pPr>
        <w:tabs>
          <w:tab w:val="left" w:pos="8820"/>
        </w:tabs>
        <w:autoSpaceDE w:val="0"/>
        <w:autoSpaceDN w:val="0"/>
        <w:spacing w:line="600" w:lineRule="auto"/>
        <w:rPr>
          <w:rFonts w:hint="eastAsia" w:ascii="宋体" w:hAnsi="宋体" w:eastAsia="宋体" w:cs="宋体"/>
          <w:sz w:val="24"/>
          <w:szCs w:val="24"/>
          <w:highlight w:val="none"/>
        </w:rPr>
      </w:pPr>
    </w:p>
    <w:p>
      <w:pPr>
        <w:autoSpaceDE w:val="0"/>
        <w:autoSpaceDN w:val="0"/>
        <w:adjustRightInd w:val="0"/>
        <w:spacing w:line="600" w:lineRule="auto"/>
        <w:ind w:firstLine="6240" w:firstLineChars="26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tabs>
          <w:tab w:val="left" w:pos="8820"/>
        </w:tabs>
        <w:autoSpaceDE w:val="0"/>
        <w:autoSpaceDN w:val="0"/>
        <w:spacing w:line="600" w:lineRule="auto"/>
        <w:ind w:firstLine="560"/>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360" w:lineRule="auto"/>
        <w:rPr>
          <w:rFonts w:hint="eastAsia" w:ascii="宋体" w:hAnsi="宋体" w:eastAsia="宋体" w:cs="宋体"/>
          <w:strike w:val="0"/>
          <w:sz w:val="24"/>
          <w:szCs w:val="24"/>
          <w:highlight w:val="none"/>
        </w:rPr>
      </w:pPr>
      <w:bookmarkStart w:id="64" w:name="_Toc2500"/>
      <w:r>
        <w:rPr>
          <w:rFonts w:hint="eastAsia" w:ascii="宋体" w:hAnsi="宋体" w:eastAsia="宋体" w:cs="宋体"/>
          <w:b/>
          <w:bCs/>
          <w:strike w:val="0"/>
          <w:sz w:val="24"/>
          <w:szCs w:val="24"/>
          <w:highlight w:val="none"/>
        </w:rPr>
        <w:t>信用记录查询结果</w:t>
      </w:r>
      <w:bookmarkEnd w:id="64"/>
    </w:p>
    <w:p>
      <w:pPr>
        <w:keepLines w:val="0"/>
        <w:pageBreakBefore w:val="0"/>
        <w:widowControl/>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到提交响应文件的截止时间，</w:t>
      </w:r>
      <w:r>
        <w:rPr>
          <w:rFonts w:hint="eastAsia" w:ascii="宋体" w:hAnsi="宋体" w:eastAsia="宋体" w:cs="宋体"/>
          <w:kern w:val="0"/>
          <w:sz w:val="24"/>
          <w:szCs w:val="24"/>
          <w:lang w:val="en-US" w:eastAsia="zh-CN"/>
        </w:rPr>
        <w:t>供应商未被列入失信被执行人、重大税收违法案件当事人名单、 政府采购严重违法失信行为记录名单。提供“信用中国”网（www.creditchina.gov.cn）、</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中国政府采购网</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（www.ccgp.gov.cn）网站查询结果页面截图。</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p>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sz w:val="24"/>
          <w:szCs w:val="24"/>
        </w:rPr>
        <w:t xml:space="preserve">（不属于可不填写内容） </w:t>
      </w:r>
    </w:p>
    <w:p>
      <w:pPr>
        <w:pStyle w:val="5"/>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bookmarkStart w:id="65" w:name="_Toc19854"/>
      <w:r>
        <w:rPr>
          <w:rFonts w:hint="eastAsia" w:ascii="宋体" w:hAnsi="宋体" w:eastAsia="宋体" w:cs="宋体"/>
          <w:b/>
          <w:bCs/>
          <w:sz w:val="24"/>
          <w:szCs w:val="24"/>
          <w:highlight w:val="none"/>
        </w:rPr>
        <w:t>联合体协议书</w:t>
      </w:r>
      <w:bookmarkEnd w:id="65"/>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______________________________（所有成员单位名称）自愿组成_________________（联合体名称）联合体，共同参加_________________（项目名称）招标项目投标。现就联合体投标事宜订立如下协议。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 （某成员单位名称）为 （联合体名称）牵头人。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 联合体牵头人在本项目中签署的一切文件和处理的一切事宜，联合体各成员均予以承认。 联合体各成员将严格按照磋商文件、响应文件和合同的要求全面履行义务，并向招标人承担连带责任。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4. 联合体各成员单位内部的职责分工如下：_________________。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5. 本协议书自所有成员单位法定代表人或其委托代理人签字或盖单位章之日起生效，合同履行完毕后自动失效。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6. 本协议书一式______份，联合体成员和招标人各执一份。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协议书由法定代表人签字的，应附法定代表人身份证明；由委托代理人签字的，应附授权委托书。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联合体牵头人名称：_________________（盖单位章）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联合体成员名称：_________________（盖单位章）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_______年________月________日</w:t>
      </w:r>
    </w:p>
    <w:bookmarkEnd w:id="56"/>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（不属于可不填写内容）</w:t>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b/>
          <w:bCs/>
          <w:sz w:val="24"/>
          <w:szCs w:val="24"/>
        </w:rPr>
      </w:pPr>
    </w:p>
    <w:p>
      <w:pPr>
        <w:pStyle w:val="5"/>
        <w:pageBreakBefore w:val="0"/>
        <w:widowControl w:val="0"/>
        <w:kinsoku/>
        <w:wordWrap/>
        <w:overflowPunct/>
        <w:topLinePunct w:val="0"/>
        <w:autoSpaceDE/>
        <w:autoSpaceDN/>
        <w:bidi w:val="0"/>
        <w:adjustRightInd/>
        <w:snapToGrid/>
        <w:spacing w:before="0" w:after="0" w:line="480" w:lineRule="auto"/>
        <w:ind w:left="0" w:leftChars="0" w:right="0" w:rightChars="0" w:firstLine="0" w:firstLineChars="0"/>
        <w:jc w:val="center"/>
        <w:textAlignment w:val="auto"/>
        <w:outlineLvl w:val="3"/>
        <w:rPr>
          <w:rFonts w:hint="eastAsia" w:ascii="宋体" w:hAnsi="宋体" w:eastAsia="宋体" w:cs="宋体"/>
          <w:b/>
          <w:bCs/>
          <w:color w:val="auto"/>
          <w:kern w:val="0"/>
          <w:sz w:val="24"/>
          <w:szCs w:val="24"/>
          <w:highlight w:val="none"/>
          <w:lang w:val="en-US" w:eastAsia="zh-CN" w:bidi="ar-SA"/>
        </w:rPr>
      </w:pPr>
      <w:bookmarkStart w:id="66" w:name="_Toc883"/>
      <w:r>
        <w:rPr>
          <w:rFonts w:hint="eastAsia" w:ascii="宋体" w:hAnsi="宋体" w:eastAsia="宋体" w:cs="宋体"/>
          <w:b/>
          <w:bCs/>
          <w:color w:val="auto"/>
          <w:kern w:val="0"/>
          <w:sz w:val="24"/>
          <w:szCs w:val="24"/>
          <w:highlight w:val="none"/>
          <w:lang w:val="en-US" w:eastAsia="zh-CN" w:bidi="ar-SA"/>
        </w:rPr>
        <w:t>中小企业声明函</w:t>
      </w:r>
      <w:bookmarkEnd w:id="66"/>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 符合政策要求的中小企业承接）。相关企业（含联合体中的中小企业、签订分包意向协议的中小企业）的具体情况如下：</w:t>
      </w:r>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1、（标的名称），属于（采购文件中明确的所属行业）；承建（承接）企业为（企业名称），从业人员____人，营 业收入为_____万元，资产总额为____万元，属于（中型企业、小型企业、微型企业）；</w:t>
      </w:r>
    </w:p>
    <w:p>
      <w:pPr>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2、（标的名称），属于（采购文件中明确的所属行业）；承建（承接）企业为（企业名称），从业人员___人，营 业收入为____万元，资产总额为_____万元，属于（中型企业、小型企业、微型企业）； …… 以上企业，不属于大企业的分支机构，不存在控股股东为大企业的情形，也不存在与大企业的负责人为同一人的情形。 本企业对上述声明内容的真实性负责。如有虚假，将依法承担相应责任。</w:t>
      </w:r>
    </w:p>
    <w:p>
      <w:pPr>
        <w:spacing w:line="480" w:lineRule="auto"/>
        <w:ind w:firstLine="480" w:firstLineChars="200"/>
        <w:rPr>
          <w:rFonts w:hint="eastAsia" w:ascii="宋体" w:hAnsi="宋体" w:eastAsia="宋体" w:cs="宋体"/>
          <w:kern w:val="0"/>
          <w:sz w:val="24"/>
          <w:szCs w:val="24"/>
        </w:rPr>
      </w:pPr>
    </w:p>
    <w:p>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spacing w:line="480" w:lineRule="auto"/>
        <w:ind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法定代表或其授权人（签字）：</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67" w:name="_Toc30542_WPSOffice_Level2"/>
      <w:bookmarkStart w:id="68" w:name="_Toc59_WPSOffice_Level2"/>
      <w:bookmarkStart w:id="69" w:name="_Toc1611_WPSOffice_Level2"/>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bookmarkEnd w:id="67"/>
      <w:bookmarkEnd w:id="68"/>
      <w:bookmarkEnd w:id="69"/>
    </w:p>
    <w:p>
      <w:pPr>
        <w:autoSpaceDE w:val="0"/>
        <w:autoSpaceDN w:val="0"/>
        <w:spacing w:line="480" w:lineRule="auto"/>
        <w:rPr>
          <w:rFonts w:hint="eastAsia" w:ascii="宋体" w:hAnsi="宋体" w:eastAsia="宋体" w:cs="宋体"/>
          <w:sz w:val="24"/>
          <w:szCs w:val="24"/>
        </w:rPr>
      </w:pPr>
      <w:r>
        <w:rPr>
          <w:rFonts w:hint="eastAsia" w:ascii="宋体" w:hAnsi="宋体" w:eastAsia="宋体" w:cs="宋体"/>
          <w:b/>
          <w:bCs/>
          <w:color w:val="auto"/>
          <w:kern w:val="0"/>
          <w:sz w:val="24"/>
          <w:szCs w:val="24"/>
          <w:highlight w:val="none"/>
          <w:lang w:val="en-US" w:eastAsia="zh-CN" w:bidi="ar-SA"/>
        </w:rPr>
        <w:br w:type="page"/>
      </w:r>
      <w:r>
        <w:rPr>
          <w:rFonts w:hint="eastAsia" w:ascii="宋体" w:hAnsi="宋体" w:eastAsia="宋体" w:cs="宋体"/>
          <w:sz w:val="24"/>
          <w:szCs w:val="24"/>
        </w:rPr>
        <w:t>（不属于可不填写内容）</w:t>
      </w:r>
    </w:p>
    <w:p>
      <w:pPr>
        <w:pStyle w:val="5"/>
        <w:keepLines w:val="0"/>
        <w:pageBreakBefore w:val="0"/>
        <w:widowControl w:val="0"/>
        <w:kinsoku/>
        <w:wordWrap/>
        <w:overflowPunct/>
        <w:topLinePunct w:val="0"/>
        <w:bidi w:val="0"/>
        <w:adjustRightInd/>
        <w:snapToGrid/>
        <w:spacing w:line="600" w:lineRule="auto"/>
        <w:textAlignment w:val="auto"/>
        <w:rPr>
          <w:rFonts w:hint="eastAsia" w:ascii="宋体" w:hAnsi="宋体" w:eastAsia="宋体" w:cs="宋体"/>
          <w:sz w:val="24"/>
          <w:szCs w:val="24"/>
          <w:highlight w:val="none"/>
        </w:rPr>
      </w:pPr>
      <w:bookmarkStart w:id="70" w:name="_Toc7023"/>
      <w:r>
        <w:rPr>
          <w:rFonts w:hint="eastAsia" w:ascii="宋体" w:hAnsi="宋体" w:eastAsia="宋体" w:cs="宋体"/>
          <w:b/>
          <w:bCs/>
          <w:sz w:val="24"/>
          <w:szCs w:val="24"/>
          <w:highlight w:val="none"/>
        </w:rPr>
        <w:t>监狱企业</w:t>
      </w:r>
      <w:bookmarkEnd w:id="70"/>
    </w:p>
    <w:p>
      <w:pPr>
        <w:keepLines w:val="0"/>
        <w:pageBreakBefore w:val="0"/>
        <w:widowControl w:val="0"/>
        <w:kinsoku/>
        <w:wordWrap/>
        <w:overflowPunct/>
        <w:topLinePunct w:val="0"/>
        <w:autoSpaceDE w:val="0"/>
        <w:autoSpaceDN w:val="0"/>
        <w:bidi w:val="0"/>
        <w:adjustRightInd/>
        <w:snapToGrid/>
        <w:spacing w:line="60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提供由监狱管理局、戒毒管理局（含新疆生产建设兵团）出具的属于监狱企业的证明文件。</w:t>
      </w:r>
      <w:r>
        <w:rPr>
          <w:rFonts w:hint="eastAsia" w:ascii="宋体" w:hAnsi="宋体" w:eastAsia="宋体" w:cs="宋体"/>
          <w:kern w:val="0"/>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（不属于可不填写内容）</w:t>
      </w:r>
    </w:p>
    <w:p>
      <w:pPr>
        <w:spacing w:line="360" w:lineRule="auto"/>
        <w:rPr>
          <w:rFonts w:hint="eastAsia" w:ascii="宋体" w:hAnsi="宋体" w:eastAsia="宋体" w:cs="宋体"/>
          <w:b/>
          <w:bCs/>
          <w:kern w:val="0"/>
          <w:sz w:val="24"/>
          <w:szCs w:val="24"/>
          <w:lang w:val="zh-CN"/>
        </w:rPr>
      </w:pPr>
    </w:p>
    <w:p>
      <w:pPr>
        <w:pStyle w:val="5"/>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b/>
          <w:bCs/>
          <w:sz w:val="24"/>
          <w:szCs w:val="24"/>
          <w:highlight w:val="none"/>
        </w:rPr>
      </w:pPr>
      <w:bookmarkStart w:id="71" w:name="_Toc16864"/>
      <w:r>
        <w:rPr>
          <w:rFonts w:hint="eastAsia" w:ascii="宋体" w:hAnsi="宋体" w:eastAsia="宋体" w:cs="宋体"/>
          <w:b/>
          <w:bCs/>
          <w:sz w:val="24"/>
          <w:szCs w:val="24"/>
          <w:highlight w:val="none"/>
        </w:rPr>
        <w:t>残疾人福利性单位声明函</w:t>
      </w:r>
      <w:bookmarkEnd w:id="71"/>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单位名称（盖章）：</w:t>
      </w: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w:t>
      </w:r>
      <w:r>
        <w:rPr>
          <w:rFonts w:hint="eastAsia" w:ascii="宋体" w:hAnsi="宋体" w:eastAsia="宋体" w:cs="宋体"/>
          <w:kern w:val="0"/>
          <w:sz w:val="24"/>
          <w:szCs w:val="24"/>
        </w:rPr>
        <w:br w:type="page"/>
      </w:r>
    </w:p>
    <w:p>
      <w:pPr>
        <w:pStyle w:val="5"/>
        <w:bidi w:val="0"/>
        <w:spacing w:line="600" w:lineRule="auto"/>
        <w:rPr>
          <w:rFonts w:hint="eastAsia" w:ascii="宋体" w:hAnsi="宋体" w:eastAsia="宋体" w:cs="宋体"/>
          <w:sz w:val="24"/>
          <w:szCs w:val="24"/>
          <w:highlight w:val="none"/>
          <w:lang w:val="zh-CN"/>
        </w:rPr>
      </w:pPr>
      <w:bookmarkStart w:id="72" w:name="_Toc3326"/>
      <w:r>
        <w:rPr>
          <w:rFonts w:hint="eastAsia" w:ascii="宋体" w:hAnsi="宋体" w:eastAsia="宋体" w:cs="宋体"/>
          <w:b/>
          <w:bCs/>
          <w:sz w:val="24"/>
          <w:szCs w:val="24"/>
          <w:highlight w:val="none"/>
          <w:lang w:val="zh-CN"/>
        </w:rPr>
        <w:t>主要商务要求承诺书</w:t>
      </w:r>
      <w:bookmarkEnd w:id="72"/>
    </w:p>
    <w:p>
      <w:pPr>
        <w:spacing w:line="600" w:lineRule="auto"/>
        <w:rPr>
          <w:rFonts w:hint="eastAsia" w:ascii="宋体" w:hAnsi="宋体" w:eastAsia="宋体" w:cs="宋体"/>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我公司承诺可以完全满足本次采购项目的所有主要商务条款要求（如</w:t>
      </w:r>
      <w:r>
        <w:rPr>
          <w:rFonts w:hint="eastAsia" w:ascii="宋体" w:hAnsi="宋体" w:eastAsia="宋体" w:cs="宋体"/>
          <w:kern w:val="0"/>
          <w:sz w:val="24"/>
          <w:szCs w:val="24"/>
          <w:highlight w:val="none"/>
        </w:rPr>
        <w:t>标的提供的时间、标的提供的地点、投标有效期、采购资金支付、验收要求、履约保证金</w:t>
      </w:r>
      <w:r>
        <w:rPr>
          <w:rFonts w:hint="eastAsia" w:ascii="宋体" w:hAnsi="宋体" w:eastAsia="宋体" w:cs="宋体"/>
          <w:sz w:val="24"/>
          <w:szCs w:val="24"/>
          <w:highlight w:val="none"/>
        </w:rPr>
        <w:t>等）。若有不符合或未按承诺履行的，后果和责任自负。</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如有优于磋商文件主要商务要求的请在此承诺书中说明。</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具体优于内容</w:t>
      </w:r>
      <w:r>
        <w:rPr>
          <w:rFonts w:hint="eastAsia" w:ascii="宋体" w:hAnsi="宋体" w:eastAsia="宋体" w:cs="宋体"/>
          <w:sz w:val="24"/>
          <w:szCs w:val="24"/>
          <w:highlight w:val="none"/>
          <w:u w:val="single"/>
        </w:rPr>
        <w:t xml:space="preserve">     （如</w:t>
      </w:r>
      <w:r>
        <w:rPr>
          <w:rFonts w:hint="eastAsia" w:ascii="宋体" w:hAnsi="宋体" w:eastAsia="宋体" w:cs="宋体"/>
          <w:kern w:val="0"/>
          <w:sz w:val="24"/>
          <w:szCs w:val="24"/>
          <w:highlight w:val="none"/>
          <w:u w:val="single"/>
        </w:rPr>
        <w:t>标的提供的时间、地点，质保期等）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pPr>
        <w:spacing w:line="600" w:lineRule="auto"/>
        <w:rPr>
          <w:rFonts w:hint="eastAsia" w:ascii="宋体" w:hAnsi="宋体" w:eastAsia="宋体" w:cs="宋体"/>
          <w:sz w:val="24"/>
          <w:szCs w:val="24"/>
          <w:highlight w:val="none"/>
        </w:rPr>
      </w:pPr>
    </w:p>
    <w:p>
      <w:pPr>
        <w:spacing w:line="600" w:lineRule="auto"/>
        <w:ind w:firstLine="6000" w:firstLineChars="25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spacing w:line="600" w:lineRule="auto"/>
        <w:ind w:firstLine="480" w:firstLineChars="200"/>
        <w:rPr>
          <w:rFonts w:hint="eastAsia" w:ascii="宋体" w:hAnsi="宋体" w:eastAsia="宋体" w:cs="宋体"/>
          <w:sz w:val="24"/>
          <w:szCs w:val="24"/>
          <w:highlight w:val="none"/>
        </w:rPr>
      </w:pPr>
    </w:p>
    <w:p>
      <w:pPr>
        <w:spacing w:line="6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rPr>
      </w:pP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br w:type="page"/>
      </w:r>
    </w:p>
    <w:p>
      <w:pPr>
        <w:pStyle w:val="5"/>
        <w:bidi w:val="0"/>
        <w:spacing w:line="360" w:lineRule="auto"/>
        <w:rPr>
          <w:rFonts w:hint="eastAsia" w:ascii="宋体" w:hAnsi="宋体" w:eastAsia="宋体" w:cs="宋体"/>
          <w:sz w:val="24"/>
          <w:szCs w:val="24"/>
          <w:highlight w:val="none"/>
        </w:rPr>
      </w:pPr>
      <w:bookmarkStart w:id="73" w:name="_Toc23861"/>
      <w:r>
        <w:rPr>
          <w:rFonts w:hint="eastAsia" w:ascii="宋体" w:hAnsi="宋体" w:eastAsia="宋体" w:cs="宋体"/>
          <w:b/>
          <w:bCs/>
          <w:sz w:val="24"/>
          <w:szCs w:val="24"/>
          <w:highlight w:val="none"/>
        </w:rPr>
        <w:t>技术偏离表</w:t>
      </w:r>
      <w:bookmarkEnd w:id="73"/>
    </w:p>
    <w:p>
      <w:pPr>
        <w:spacing w:line="360" w:lineRule="auto"/>
        <w:rPr>
          <w:rFonts w:hint="eastAsia" w:ascii="宋体" w:hAnsi="宋体" w:eastAsia="宋体" w:cs="宋体"/>
          <w:kern w:val="0"/>
          <w:sz w:val="24"/>
          <w:szCs w:val="24"/>
        </w:rPr>
      </w:pPr>
      <w:r>
        <w:rPr>
          <w:rFonts w:hint="eastAsia" w:ascii="宋体" w:hAnsi="宋体" w:eastAsia="宋体" w:cs="宋体"/>
          <w:sz w:val="24"/>
          <w:szCs w:val="24"/>
        </w:rPr>
        <w:t xml:space="preserve"> </w:t>
      </w:r>
    </w:p>
    <w:tbl>
      <w:tblPr>
        <w:tblStyle w:val="33"/>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34"/>
        <w:gridCol w:w="2441"/>
        <w:gridCol w:w="2425"/>
        <w:gridCol w:w="1217"/>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3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标的名称</w:t>
            </w: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招</w:t>
            </w:r>
            <w:r>
              <w:rPr>
                <w:rFonts w:hint="eastAsia" w:ascii="宋体" w:hAnsi="宋体" w:eastAsia="宋体" w:cs="宋体"/>
                <w:sz w:val="24"/>
                <w:szCs w:val="24"/>
                <w:highlight w:val="none"/>
              </w:rPr>
              <w:t>标技术要求</w:t>
            </w: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供应商提供响应内容</w:t>
            </w: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偏离程度</w:t>
            </w: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2</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bl>
    <w:p>
      <w:pPr>
        <w:spacing w:line="360" w:lineRule="auto"/>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600" w:lineRule="auto"/>
        <w:ind w:right="57"/>
        <w:textAlignment w:val="auto"/>
        <w:rPr>
          <w:rFonts w:hint="eastAsia" w:ascii="宋体" w:hAnsi="宋体" w:eastAsia="宋体" w:cs="宋体"/>
          <w:sz w:val="24"/>
          <w:szCs w:val="24"/>
        </w:rPr>
      </w:pPr>
      <w:r>
        <w:rPr>
          <w:rFonts w:hint="eastAsia" w:ascii="宋体" w:hAnsi="宋体" w:eastAsia="宋体" w:cs="宋体"/>
          <w:bCs/>
          <w:sz w:val="24"/>
          <w:szCs w:val="24"/>
        </w:rPr>
        <w:t>说明</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1.供应商应当如实填写上表“供应商提供响应内容”处内容，对磋商文件提出的要求和条件作出明确响应，并逐一列明具体响应数值或内容，</w:t>
      </w:r>
      <w:r>
        <w:rPr>
          <w:rFonts w:hint="eastAsia" w:ascii="宋体" w:hAnsi="宋体" w:eastAsia="宋体" w:cs="宋体"/>
          <w:kern w:val="0"/>
          <w:sz w:val="24"/>
          <w:szCs w:val="24"/>
        </w:rPr>
        <w:t>只注明符合、满足等无具体内容表述的，将视为未实质性满足磋商文件要求。</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2.“偏离程度”处可填写满足、响应或正偏离、负偏离。</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3.“备注”处可填写偏离情况的具体说明。</w:t>
      </w:r>
      <w:r>
        <w:rPr>
          <w:rFonts w:hint="eastAsia" w:ascii="宋体" w:hAnsi="宋体" w:eastAsia="宋体" w:cs="宋体"/>
          <w:sz w:val="24"/>
          <w:szCs w:val="24"/>
        </w:rPr>
        <w:br w:type="page"/>
      </w:r>
    </w:p>
    <w:p>
      <w:pPr>
        <w:spacing w:line="360" w:lineRule="auto"/>
        <w:jc w:val="center"/>
        <w:rPr>
          <w:rFonts w:hint="eastAsia" w:ascii="宋体" w:hAnsi="宋体" w:eastAsia="宋体" w:cs="宋体"/>
          <w:sz w:val="24"/>
          <w:szCs w:val="24"/>
          <w:lang w:val="zh-CN" w:eastAsia="zh-CN"/>
        </w:rPr>
      </w:pPr>
      <w:bookmarkStart w:id="74" w:name="_Toc20372_WPSOffice_Level3"/>
      <w:bookmarkStart w:id="75" w:name="_Toc19998_WPSOffice_Level2"/>
      <w:bookmarkStart w:id="76" w:name="_Toc23858_WPSOffice_Level2"/>
      <w:bookmarkStart w:id="77" w:name="_Toc23202_WPSOffice_Level3"/>
      <w:r>
        <w:rPr>
          <w:rFonts w:hint="eastAsia" w:ascii="宋体" w:hAnsi="宋体" w:cs="宋体"/>
          <w:b/>
          <w:bCs/>
          <w:sz w:val="24"/>
          <w:szCs w:val="24"/>
          <w:lang w:val="zh-CN" w:eastAsia="zh-CN"/>
        </w:rPr>
        <w:t>服务方案</w:t>
      </w:r>
    </w:p>
    <w:p>
      <w:pPr>
        <w:spacing w:before="120" w:beforeLines="50" w:after="240" w:afterLines="100" w:line="360" w:lineRule="auto"/>
        <w:rPr>
          <w:rFonts w:hint="eastAsia" w:ascii="宋体" w:hAnsi="宋体" w:eastAsia="宋体" w:cs="宋体"/>
          <w:sz w:val="24"/>
          <w:szCs w:val="24"/>
        </w:rPr>
      </w:pPr>
    </w:p>
    <w:bookmarkEnd w:id="74"/>
    <w:bookmarkEnd w:id="75"/>
    <w:bookmarkEnd w:id="76"/>
    <w:bookmarkEnd w:id="77"/>
    <w:p>
      <w:pP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br w:type="page"/>
      </w:r>
    </w:p>
    <w:p>
      <w:pPr>
        <w:pStyle w:val="5"/>
        <w:bidi w:val="0"/>
        <w:spacing w:line="360" w:lineRule="auto"/>
        <w:rPr>
          <w:rFonts w:hint="eastAsia" w:ascii="宋体" w:hAnsi="宋体" w:eastAsia="宋体" w:cs="宋体"/>
          <w:b/>
          <w:bCs/>
          <w:sz w:val="24"/>
          <w:szCs w:val="24"/>
          <w:highlight w:val="none"/>
        </w:rPr>
      </w:pPr>
      <w:bookmarkStart w:id="78" w:name="_Toc1474"/>
      <w:r>
        <w:rPr>
          <w:rFonts w:hint="eastAsia" w:ascii="宋体" w:hAnsi="宋体" w:eastAsia="宋体" w:cs="宋体"/>
          <w:b/>
          <w:bCs/>
          <w:sz w:val="24"/>
          <w:szCs w:val="24"/>
          <w:highlight w:val="none"/>
        </w:rPr>
        <w:t>供应商业绩情况表</w:t>
      </w:r>
      <w:bookmarkEnd w:id="78"/>
    </w:p>
    <w:tbl>
      <w:tblPr>
        <w:tblStyle w:val="33"/>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851"/>
        <w:gridCol w:w="2787"/>
        <w:gridCol w:w="2000"/>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4"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51"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使用单位</w:t>
            </w:r>
          </w:p>
        </w:tc>
        <w:tc>
          <w:tcPr>
            <w:tcW w:w="2787"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业绩名称</w:t>
            </w:r>
          </w:p>
        </w:tc>
        <w:tc>
          <w:tcPr>
            <w:tcW w:w="2000"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合同总价</w:t>
            </w:r>
          </w:p>
        </w:tc>
        <w:tc>
          <w:tcPr>
            <w:tcW w:w="2315"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bl>
    <w:p>
      <w:pPr>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供应商根据上述业绩情况后附合同或中标通知书等复印件。</w:t>
      </w:r>
    </w:p>
    <w:p>
      <w:pPr>
        <w:spacing w:line="360" w:lineRule="auto"/>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b/>
          <w:sz w:val="24"/>
          <w:szCs w:val="24"/>
        </w:rPr>
        <w:br w:type="page"/>
      </w:r>
      <w:bookmarkStart w:id="79" w:name="_Toc438714733"/>
      <w:bookmarkStart w:id="80" w:name="_Toc482026557"/>
      <w:bookmarkStart w:id="81" w:name="_Toc438655703"/>
    </w:p>
    <w:bookmarkEnd w:id="79"/>
    <w:bookmarkEnd w:id="80"/>
    <w:bookmarkEnd w:id="81"/>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5"/>
        <w:bidi w:val="0"/>
        <w:spacing w:line="600" w:lineRule="auto"/>
        <w:jc w:val="center"/>
        <w:rPr>
          <w:rFonts w:hint="eastAsia" w:ascii="宋体" w:hAnsi="宋体" w:eastAsia="宋体" w:cs="宋体"/>
          <w:sz w:val="24"/>
          <w:szCs w:val="24"/>
          <w:highlight w:val="none"/>
          <w:lang w:val="zh-CN"/>
        </w:rPr>
      </w:pPr>
      <w:bookmarkStart w:id="82" w:name="_Toc19620"/>
      <w:r>
        <w:rPr>
          <w:rFonts w:hint="eastAsia" w:ascii="宋体" w:hAnsi="宋体" w:eastAsia="宋体" w:cs="宋体"/>
          <w:b/>
          <w:bCs/>
          <w:sz w:val="24"/>
          <w:szCs w:val="24"/>
          <w:highlight w:val="none"/>
          <w:lang w:val="en-US" w:eastAsia="zh-CN"/>
        </w:rPr>
        <w:t>各类证明材料</w:t>
      </w:r>
      <w:bookmarkEnd w:id="82"/>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1.磋商文件要求提供的其他资料。</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2.供应商认为需提供的其他</w:t>
      </w:r>
      <w:r>
        <w:rPr>
          <w:rFonts w:hint="eastAsia" w:ascii="宋体" w:hAnsi="宋体" w:eastAsia="宋体" w:cs="宋体"/>
          <w:sz w:val="24"/>
          <w:szCs w:val="24"/>
          <w:lang w:eastAsia="zh-CN"/>
        </w:rPr>
        <w:t>有利</w:t>
      </w:r>
      <w:r>
        <w:rPr>
          <w:rFonts w:hint="eastAsia" w:ascii="宋体" w:hAnsi="宋体" w:eastAsia="宋体" w:cs="宋体"/>
          <w:sz w:val="24"/>
          <w:szCs w:val="24"/>
        </w:rPr>
        <w:t>资料。</w:t>
      </w:r>
    </w:p>
    <w:p>
      <w:pPr>
        <w:spacing w:line="360" w:lineRule="auto"/>
        <w:rPr>
          <w:rFonts w:hint="eastAsia" w:ascii="宋体" w:hAnsi="宋体" w:eastAsia="宋体" w:cs="宋体"/>
          <w:sz w:val="24"/>
          <w:szCs w:val="24"/>
        </w:rPr>
      </w:pPr>
    </w:p>
    <w:sectPr>
      <w:headerReference r:id="rId6" w:type="default"/>
      <w:footerReference r:id="rId7"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7"/>
      </w:rPr>
    </w:pPr>
    <w:r>
      <w:fldChar w:fldCharType="begin"/>
    </w:r>
    <w:r>
      <w:rPr>
        <w:rStyle w:val="37"/>
      </w:rPr>
      <w:instrText xml:space="preserve">PAGE  </w:instrText>
    </w:r>
    <w:r>
      <w:fldChar w:fldCharType="separate"/>
    </w:r>
    <w:r>
      <w:rPr>
        <w:rStyle w:val="37"/>
      </w:rPr>
      <w:t>23</w:t>
    </w:r>
    <w: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7CA9C"/>
    <w:multiLevelType w:val="singleLevel"/>
    <w:tmpl w:val="A717CA9C"/>
    <w:lvl w:ilvl="0" w:tentative="0">
      <w:start w:val="2"/>
      <w:numFmt w:val="chineseCounting"/>
      <w:suff w:val="nothing"/>
      <w:lvlText w:val="%1、"/>
      <w:lvlJc w:val="left"/>
      <w:rPr>
        <w:rFonts w:hint="eastAsia"/>
      </w:rPr>
    </w:lvl>
  </w:abstractNum>
  <w:abstractNum w:abstractNumId="1">
    <w:nsid w:val="ABFCBF1A"/>
    <w:multiLevelType w:val="singleLevel"/>
    <w:tmpl w:val="ABFCBF1A"/>
    <w:lvl w:ilvl="0" w:tentative="0">
      <w:start w:val="1"/>
      <w:numFmt w:val="decimal"/>
      <w:suff w:val="nothing"/>
      <w:lvlText w:val="（%1）"/>
      <w:lvlJc w:val="left"/>
    </w:lvl>
  </w:abstractNum>
  <w:abstractNum w:abstractNumId="2">
    <w:nsid w:val="BD5E8E9D"/>
    <w:multiLevelType w:val="singleLevel"/>
    <w:tmpl w:val="BD5E8E9D"/>
    <w:lvl w:ilvl="0" w:tentative="0">
      <w:start w:val="1"/>
      <w:numFmt w:val="decimal"/>
      <w:lvlText w:val="(%1)"/>
      <w:lvlJc w:val="left"/>
      <w:pPr>
        <w:ind w:left="425" w:hanging="425"/>
      </w:pPr>
      <w:rPr>
        <w:rFonts w:hint="default"/>
      </w:rPr>
    </w:lvl>
  </w:abstractNum>
  <w:abstractNum w:abstractNumId="3">
    <w:nsid w:val="DB36B60B"/>
    <w:multiLevelType w:val="singleLevel"/>
    <w:tmpl w:val="DB36B60B"/>
    <w:lvl w:ilvl="0" w:tentative="0">
      <w:start w:val="1"/>
      <w:numFmt w:val="decimal"/>
      <w:lvlText w:val="%1."/>
      <w:lvlJc w:val="left"/>
      <w:pPr>
        <w:tabs>
          <w:tab w:val="left" w:pos="312"/>
        </w:tabs>
      </w:pPr>
    </w:lvl>
  </w:abstractNum>
  <w:abstractNum w:abstractNumId="4">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5">
    <w:nsid w:val="1A4A36F7"/>
    <w:multiLevelType w:val="singleLevel"/>
    <w:tmpl w:val="1A4A36F7"/>
    <w:lvl w:ilvl="0" w:tentative="0">
      <w:start w:val="1"/>
      <w:numFmt w:val="chineseCounting"/>
      <w:suff w:val="nothing"/>
      <w:lvlText w:val="%1、"/>
      <w:lvlJc w:val="left"/>
      <w:pPr>
        <w:ind w:left="-140" w:firstLine="420"/>
      </w:pPr>
      <w:rPr>
        <w:rFonts w:hint="eastAsia"/>
      </w:rPr>
    </w:lvl>
  </w:abstractNum>
  <w:abstractNum w:abstractNumId="6">
    <w:nsid w:val="36D011AD"/>
    <w:multiLevelType w:val="singleLevel"/>
    <w:tmpl w:val="36D011AD"/>
    <w:lvl w:ilvl="0" w:tentative="0">
      <w:start w:val="1"/>
      <w:numFmt w:val="decimal"/>
      <w:lvlText w:val="%1"/>
      <w:lvlJc w:val="left"/>
      <w:pPr>
        <w:ind w:left="0" w:leftChars="0" w:firstLine="83" w:firstLineChars="0"/>
      </w:pPr>
      <w:rPr>
        <w:rFonts w:hint="default" w:ascii="宋体" w:hAnsi="宋体" w:eastAsia="宋体" w:cs="宋体"/>
        <w:sz w:val="22"/>
        <w:szCs w:val="22"/>
      </w:rPr>
    </w:lvl>
  </w:abstractNum>
  <w:abstractNum w:abstractNumId="7">
    <w:nsid w:val="599C8112"/>
    <w:multiLevelType w:val="singleLevel"/>
    <w:tmpl w:val="599C8112"/>
    <w:lvl w:ilvl="0" w:tentative="0">
      <w:start w:val="1"/>
      <w:numFmt w:val="decimal"/>
      <w:lvlText w:val="%1."/>
      <w:lvlJc w:val="left"/>
      <w:pPr>
        <w:tabs>
          <w:tab w:val="left" w:pos="312"/>
        </w:tabs>
      </w:pPr>
    </w:lvl>
  </w:abstractNum>
  <w:num w:numId="1">
    <w:abstractNumId w:val="4"/>
  </w:num>
  <w:num w:numId="2">
    <w:abstractNumId w:val="3"/>
  </w:num>
  <w:num w:numId="3">
    <w:abstractNumId w:val="6"/>
  </w:num>
  <w:num w:numId="4">
    <w:abstractNumId w:val="2"/>
  </w:num>
  <w:num w:numId="5">
    <w:abstractNumId w:val="1"/>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YTA0OWM5MTA5NzkzZWEyMWQ4Y2UxMDRmODc0ODQifQ=="/>
  </w:docVars>
  <w:rsids>
    <w:rsidRoot w:val="00DE46E0"/>
    <w:rsid w:val="000927C9"/>
    <w:rsid w:val="000D6259"/>
    <w:rsid w:val="000F6E57"/>
    <w:rsid w:val="001133A2"/>
    <w:rsid w:val="00116F27"/>
    <w:rsid w:val="001B30B7"/>
    <w:rsid w:val="001C32E9"/>
    <w:rsid w:val="00203117"/>
    <w:rsid w:val="0020609A"/>
    <w:rsid w:val="00252FF9"/>
    <w:rsid w:val="00277F51"/>
    <w:rsid w:val="002A0696"/>
    <w:rsid w:val="003232B0"/>
    <w:rsid w:val="00341D18"/>
    <w:rsid w:val="00362A03"/>
    <w:rsid w:val="00373EE8"/>
    <w:rsid w:val="003A105C"/>
    <w:rsid w:val="003B459C"/>
    <w:rsid w:val="00411EE4"/>
    <w:rsid w:val="0045583D"/>
    <w:rsid w:val="004C084A"/>
    <w:rsid w:val="004C148A"/>
    <w:rsid w:val="00532CB9"/>
    <w:rsid w:val="005759C6"/>
    <w:rsid w:val="00584C87"/>
    <w:rsid w:val="005C2E1A"/>
    <w:rsid w:val="0060738B"/>
    <w:rsid w:val="00631805"/>
    <w:rsid w:val="006C0C05"/>
    <w:rsid w:val="007276FD"/>
    <w:rsid w:val="00742C08"/>
    <w:rsid w:val="007446A0"/>
    <w:rsid w:val="00746080"/>
    <w:rsid w:val="00794555"/>
    <w:rsid w:val="007D0D43"/>
    <w:rsid w:val="0083235D"/>
    <w:rsid w:val="00835B6F"/>
    <w:rsid w:val="00880FCD"/>
    <w:rsid w:val="008D5A21"/>
    <w:rsid w:val="008D611A"/>
    <w:rsid w:val="00952BE6"/>
    <w:rsid w:val="009A3C89"/>
    <w:rsid w:val="009D1E3F"/>
    <w:rsid w:val="009D33AD"/>
    <w:rsid w:val="009E50AE"/>
    <w:rsid w:val="00A03EA7"/>
    <w:rsid w:val="00A32013"/>
    <w:rsid w:val="00B836CE"/>
    <w:rsid w:val="00BB7907"/>
    <w:rsid w:val="00BC1B42"/>
    <w:rsid w:val="00BC50FE"/>
    <w:rsid w:val="00BC6D93"/>
    <w:rsid w:val="00BF4C72"/>
    <w:rsid w:val="00BF5913"/>
    <w:rsid w:val="00C21249"/>
    <w:rsid w:val="00C644D9"/>
    <w:rsid w:val="00C91BE7"/>
    <w:rsid w:val="00CA4193"/>
    <w:rsid w:val="00CE3637"/>
    <w:rsid w:val="00CF1ED2"/>
    <w:rsid w:val="00D11AF1"/>
    <w:rsid w:val="00DB1D13"/>
    <w:rsid w:val="00DC5F1A"/>
    <w:rsid w:val="00DD7CB8"/>
    <w:rsid w:val="00DE46E0"/>
    <w:rsid w:val="00E31466"/>
    <w:rsid w:val="00E747C1"/>
    <w:rsid w:val="00EE6A03"/>
    <w:rsid w:val="00EF73AC"/>
    <w:rsid w:val="00F76F7D"/>
    <w:rsid w:val="015B77A0"/>
    <w:rsid w:val="01D953BD"/>
    <w:rsid w:val="01F368D5"/>
    <w:rsid w:val="027D4126"/>
    <w:rsid w:val="031F1FCA"/>
    <w:rsid w:val="03477DD4"/>
    <w:rsid w:val="03C00413"/>
    <w:rsid w:val="03E85A94"/>
    <w:rsid w:val="03EF56CF"/>
    <w:rsid w:val="052362E9"/>
    <w:rsid w:val="052A5554"/>
    <w:rsid w:val="052E5A7B"/>
    <w:rsid w:val="054448D9"/>
    <w:rsid w:val="056C57F7"/>
    <w:rsid w:val="05971EFF"/>
    <w:rsid w:val="05CE386E"/>
    <w:rsid w:val="05E70733"/>
    <w:rsid w:val="065E1EE8"/>
    <w:rsid w:val="06D171E9"/>
    <w:rsid w:val="06F21DC5"/>
    <w:rsid w:val="07632680"/>
    <w:rsid w:val="07CC633D"/>
    <w:rsid w:val="0889534A"/>
    <w:rsid w:val="088A5CF1"/>
    <w:rsid w:val="08AB1B8F"/>
    <w:rsid w:val="09473CD3"/>
    <w:rsid w:val="09546505"/>
    <w:rsid w:val="09A6701A"/>
    <w:rsid w:val="09C93684"/>
    <w:rsid w:val="0B12081C"/>
    <w:rsid w:val="0B2335A6"/>
    <w:rsid w:val="0BBE5921"/>
    <w:rsid w:val="0C2200FE"/>
    <w:rsid w:val="0C307425"/>
    <w:rsid w:val="0C3B1099"/>
    <w:rsid w:val="0C746922"/>
    <w:rsid w:val="0CB76375"/>
    <w:rsid w:val="0CCD5C8D"/>
    <w:rsid w:val="0D596AA0"/>
    <w:rsid w:val="0D770B13"/>
    <w:rsid w:val="0DEB23CC"/>
    <w:rsid w:val="0DF548BE"/>
    <w:rsid w:val="0EA77ABC"/>
    <w:rsid w:val="0F4024FA"/>
    <w:rsid w:val="0F6B79DB"/>
    <w:rsid w:val="106136F8"/>
    <w:rsid w:val="110A1A5E"/>
    <w:rsid w:val="114B7C80"/>
    <w:rsid w:val="11BB0CF9"/>
    <w:rsid w:val="11D522CF"/>
    <w:rsid w:val="11FE4D03"/>
    <w:rsid w:val="12893908"/>
    <w:rsid w:val="133D1DBE"/>
    <w:rsid w:val="135F0966"/>
    <w:rsid w:val="136C6C4F"/>
    <w:rsid w:val="139F09FD"/>
    <w:rsid w:val="13A25268"/>
    <w:rsid w:val="13FD5685"/>
    <w:rsid w:val="146249A9"/>
    <w:rsid w:val="1480764D"/>
    <w:rsid w:val="148B77EC"/>
    <w:rsid w:val="15204125"/>
    <w:rsid w:val="15D40943"/>
    <w:rsid w:val="15E87235"/>
    <w:rsid w:val="15E95407"/>
    <w:rsid w:val="16A034BC"/>
    <w:rsid w:val="17614353"/>
    <w:rsid w:val="1837509F"/>
    <w:rsid w:val="18730F39"/>
    <w:rsid w:val="187835E0"/>
    <w:rsid w:val="18985776"/>
    <w:rsid w:val="192668A1"/>
    <w:rsid w:val="19530CBF"/>
    <w:rsid w:val="19707F4C"/>
    <w:rsid w:val="19CA2C82"/>
    <w:rsid w:val="1A1044D2"/>
    <w:rsid w:val="1A911774"/>
    <w:rsid w:val="1AF61ABD"/>
    <w:rsid w:val="1B1D4B81"/>
    <w:rsid w:val="1B34786F"/>
    <w:rsid w:val="1B78150A"/>
    <w:rsid w:val="1BB0281D"/>
    <w:rsid w:val="1BCC14FA"/>
    <w:rsid w:val="1C8839BF"/>
    <w:rsid w:val="1CF27135"/>
    <w:rsid w:val="1D5C2646"/>
    <w:rsid w:val="1DAE6B8A"/>
    <w:rsid w:val="1DF8065E"/>
    <w:rsid w:val="1E03014B"/>
    <w:rsid w:val="1E5176C8"/>
    <w:rsid w:val="1ED145AA"/>
    <w:rsid w:val="1F6B19DA"/>
    <w:rsid w:val="1FC46BD6"/>
    <w:rsid w:val="1FC54741"/>
    <w:rsid w:val="1FFF0758"/>
    <w:rsid w:val="20E628BE"/>
    <w:rsid w:val="20F62ECF"/>
    <w:rsid w:val="21514CD4"/>
    <w:rsid w:val="21840ED1"/>
    <w:rsid w:val="22006AA3"/>
    <w:rsid w:val="220E11BB"/>
    <w:rsid w:val="223E6B2C"/>
    <w:rsid w:val="229426FA"/>
    <w:rsid w:val="22A70BBA"/>
    <w:rsid w:val="246457B9"/>
    <w:rsid w:val="254D59F1"/>
    <w:rsid w:val="271D2AA7"/>
    <w:rsid w:val="278C5F98"/>
    <w:rsid w:val="27B23624"/>
    <w:rsid w:val="27BD5880"/>
    <w:rsid w:val="27DD1063"/>
    <w:rsid w:val="28025E4B"/>
    <w:rsid w:val="28F7227E"/>
    <w:rsid w:val="29B75FCB"/>
    <w:rsid w:val="2A7A75B2"/>
    <w:rsid w:val="2A9515A1"/>
    <w:rsid w:val="2AC3464E"/>
    <w:rsid w:val="2B06451A"/>
    <w:rsid w:val="2B3A49B3"/>
    <w:rsid w:val="2BAF5CEA"/>
    <w:rsid w:val="2BD079A1"/>
    <w:rsid w:val="2BFE4CFB"/>
    <w:rsid w:val="2C3B37AF"/>
    <w:rsid w:val="2C78560D"/>
    <w:rsid w:val="2C812DDC"/>
    <w:rsid w:val="2CB25D3C"/>
    <w:rsid w:val="2CB66035"/>
    <w:rsid w:val="2CC82C80"/>
    <w:rsid w:val="2CCB7D6F"/>
    <w:rsid w:val="2D323983"/>
    <w:rsid w:val="2D5B6FBF"/>
    <w:rsid w:val="2D9039EA"/>
    <w:rsid w:val="2DB61B79"/>
    <w:rsid w:val="2DB9047B"/>
    <w:rsid w:val="2DEF50DE"/>
    <w:rsid w:val="2E0B6192"/>
    <w:rsid w:val="2F195FBE"/>
    <w:rsid w:val="2F240A7E"/>
    <w:rsid w:val="2F821593"/>
    <w:rsid w:val="2F841AC5"/>
    <w:rsid w:val="303D469E"/>
    <w:rsid w:val="3071254B"/>
    <w:rsid w:val="307729F7"/>
    <w:rsid w:val="30F146F8"/>
    <w:rsid w:val="310B1836"/>
    <w:rsid w:val="31272A60"/>
    <w:rsid w:val="32C92CA0"/>
    <w:rsid w:val="32D1379C"/>
    <w:rsid w:val="32E12CEE"/>
    <w:rsid w:val="335549A6"/>
    <w:rsid w:val="33C458D8"/>
    <w:rsid w:val="342C2EA8"/>
    <w:rsid w:val="348F7F4D"/>
    <w:rsid w:val="3516009C"/>
    <w:rsid w:val="35E10546"/>
    <w:rsid w:val="35F550E0"/>
    <w:rsid w:val="367D3A6E"/>
    <w:rsid w:val="368347E2"/>
    <w:rsid w:val="36A94800"/>
    <w:rsid w:val="37102E62"/>
    <w:rsid w:val="373F5F68"/>
    <w:rsid w:val="3749642E"/>
    <w:rsid w:val="38037C39"/>
    <w:rsid w:val="38562B97"/>
    <w:rsid w:val="38677BEB"/>
    <w:rsid w:val="38C45EA2"/>
    <w:rsid w:val="38E367C4"/>
    <w:rsid w:val="3A2E0145"/>
    <w:rsid w:val="3A5013CD"/>
    <w:rsid w:val="3A887176"/>
    <w:rsid w:val="3AAD5154"/>
    <w:rsid w:val="3ADD1969"/>
    <w:rsid w:val="3B1675E4"/>
    <w:rsid w:val="3BE37069"/>
    <w:rsid w:val="3BE633D5"/>
    <w:rsid w:val="3C0B48D2"/>
    <w:rsid w:val="3C65673D"/>
    <w:rsid w:val="3CE50F2E"/>
    <w:rsid w:val="3D096C2D"/>
    <w:rsid w:val="3DE27F04"/>
    <w:rsid w:val="3E371CF8"/>
    <w:rsid w:val="3E581CCD"/>
    <w:rsid w:val="3F773EE9"/>
    <w:rsid w:val="413D78CF"/>
    <w:rsid w:val="41D51A2A"/>
    <w:rsid w:val="42277FF1"/>
    <w:rsid w:val="423D1F07"/>
    <w:rsid w:val="424B6320"/>
    <w:rsid w:val="43114034"/>
    <w:rsid w:val="4413082D"/>
    <w:rsid w:val="4424380E"/>
    <w:rsid w:val="454F1F4D"/>
    <w:rsid w:val="45B80273"/>
    <w:rsid w:val="460709E8"/>
    <w:rsid w:val="46CA34C6"/>
    <w:rsid w:val="46DA24AC"/>
    <w:rsid w:val="46E26247"/>
    <w:rsid w:val="47160A6F"/>
    <w:rsid w:val="471E62FF"/>
    <w:rsid w:val="47522B33"/>
    <w:rsid w:val="47A960BD"/>
    <w:rsid w:val="47C0279F"/>
    <w:rsid w:val="480405FB"/>
    <w:rsid w:val="482C228A"/>
    <w:rsid w:val="4831524B"/>
    <w:rsid w:val="483E5547"/>
    <w:rsid w:val="48D251F5"/>
    <w:rsid w:val="49791BD1"/>
    <w:rsid w:val="49C62AA5"/>
    <w:rsid w:val="4AB966B2"/>
    <w:rsid w:val="4B297753"/>
    <w:rsid w:val="4BD25A42"/>
    <w:rsid w:val="4C7E4866"/>
    <w:rsid w:val="4C7E7747"/>
    <w:rsid w:val="4CA158BE"/>
    <w:rsid w:val="4CA55094"/>
    <w:rsid w:val="4CBD52E1"/>
    <w:rsid w:val="4CC55DC1"/>
    <w:rsid w:val="4CF01468"/>
    <w:rsid w:val="4D7778F6"/>
    <w:rsid w:val="4D880B3A"/>
    <w:rsid w:val="4D9C697F"/>
    <w:rsid w:val="4DC928A0"/>
    <w:rsid w:val="4E246451"/>
    <w:rsid w:val="4E811B2C"/>
    <w:rsid w:val="4E9E57CA"/>
    <w:rsid w:val="4EA36674"/>
    <w:rsid w:val="4EA577A7"/>
    <w:rsid w:val="4ECE1E67"/>
    <w:rsid w:val="502E5202"/>
    <w:rsid w:val="502F7190"/>
    <w:rsid w:val="508A7702"/>
    <w:rsid w:val="50B1661A"/>
    <w:rsid w:val="50F33949"/>
    <w:rsid w:val="514C1CC7"/>
    <w:rsid w:val="51702CBD"/>
    <w:rsid w:val="523172CE"/>
    <w:rsid w:val="525B7F8E"/>
    <w:rsid w:val="53185F26"/>
    <w:rsid w:val="53787F37"/>
    <w:rsid w:val="53FA526F"/>
    <w:rsid w:val="54684CCB"/>
    <w:rsid w:val="54CC3272"/>
    <w:rsid w:val="559867BC"/>
    <w:rsid w:val="55CF7668"/>
    <w:rsid w:val="5611195E"/>
    <w:rsid w:val="563F1955"/>
    <w:rsid w:val="566A7AB8"/>
    <w:rsid w:val="578C3E5C"/>
    <w:rsid w:val="583A3D1F"/>
    <w:rsid w:val="5963606A"/>
    <w:rsid w:val="59CC1E60"/>
    <w:rsid w:val="5A3958FC"/>
    <w:rsid w:val="5A52363F"/>
    <w:rsid w:val="5ADB4B37"/>
    <w:rsid w:val="5BA51B52"/>
    <w:rsid w:val="5C07789B"/>
    <w:rsid w:val="5C8E76C8"/>
    <w:rsid w:val="5C9A1E00"/>
    <w:rsid w:val="5CE12E84"/>
    <w:rsid w:val="5D051A57"/>
    <w:rsid w:val="5D4E3B9F"/>
    <w:rsid w:val="5EA65AF7"/>
    <w:rsid w:val="5ED0318B"/>
    <w:rsid w:val="5EE26B26"/>
    <w:rsid w:val="5EF1073D"/>
    <w:rsid w:val="5F436B04"/>
    <w:rsid w:val="5FD37716"/>
    <w:rsid w:val="600C4EE5"/>
    <w:rsid w:val="606D608E"/>
    <w:rsid w:val="60C95573"/>
    <w:rsid w:val="616875F0"/>
    <w:rsid w:val="619917D5"/>
    <w:rsid w:val="61D16D2E"/>
    <w:rsid w:val="61FB2EF6"/>
    <w:rsid w:val="62215E24"/>
    <w:rsid w:val="62437FC4"/>
    <w:rsid w:val="6312167F"/>
    <w:rsid w:val="631A6DFA"/>
    <w:rsid w:val="639073A6"/>
    <w:rsid w:val="6454426D"/>
    <w:rsid w:val="64911741"/>
    <w:rsid w:val="64A0725A"/>
    <w:rsid w:val="64CD0542"/>
    <w:rsid w:val="64D84308"/>
    <w:rsid w:val="64FF6C71"/>
    <w:rsid w:val="650C50F9"/>
    <w:rsid w:val="65C13A55"/>
    <w:rsid w:val="65EA3566"/>
    <w:rsid w:val="65F9177F"/>
    <w:rsid w:val="664D7964"/>
    <w:rsid w:val="6659611C"/>
    <w:rsid w:val="66FE3167"/>
    <w:rsid w:val="67225BC8"/>
    <w:rsid w:val="676B07FC"/>
    <w:rsid w:val="681B23D5"/>
    <w:rsid w:val="68867B47"/>
    <w:rsid w:val="688D13BA"/>
    <w:rsid w:val="69506496"/>
    <w:rsid w:val="695C546D"/>
    <w:rsid w:val="696D7E4E"/>
    <w:rsid w:val="698B40B0"/>
    <w:rsid w:val="698E432E"/>
    <w:rsid w:val="69AF0C4B"/>
    <w:rsid w:val="69EB61DC"/>
    <w:rsid w:val="69FF60D0"/>
    <w:rsid w:val="6A2767A1"/>
    <w:rsid w:val="6A3301F5"/>
    <w:rsid w:val="6A6911B9"/>
    <w:rsid w:val="6AED517A"/>
    <w:rsid w:val="6B94324B"/>
    <w:rsid w:val="6C164AAF"/>
    <w:rsid w:val="6CD94028"/>
    <w:rsid w:val="6D0E20E9"/>
    <w:rsid w:val="6D6319CF"/>
    <w:rsid w:val="6D682597"/>
    <w:rsid w:val="6D713D7F"/>
    <w:rsid w:val="6D9F25BF"/>
    <w:rsid w:val="6DD2126C"/>
    <w:rsid w:val="6DF10D15"/>
    <w:rsid w:val="6E2246DA"/>
    <w:rsid w:val="6F5076E1"/>
    <w:rsid w:val="6FE643F7"/>
    <w:rsid w:val="6FE949B4"/>
    <w:rsid w:val="7016200C"/>
    <w:rsid w:val="703D085C"/>
    <w:rsid w:val="70555692"/>
    <w:rsid w:val="70BD6FD3"/>
    <w:rsid w:val="70D2651B"/>
    <w:rsid w:val="713C5F5C"/>
    <w:rsid w:val="71473362"/>
    <w:rsid w:val="72A1277E"/>
    <w:rsid w:val="7699161E"/>
    <w:rsid w:val="76F9503E"/>
    <w:rsid w:val="772E114A"/>
    <w:rsid w:val="773F7F5C"/>
    <w:rsid w:val="776A33D5"/>
    <w:rsid w:val="77EA37F8"/>
    <w:rsid w:val="783D5D07"/>
    <w:rsid w:val="783E684E"/>
    <w:rsid w:val="78574FCB"/>
    <w:rsid w:val="7883527A"/>
    <w:rsid w:val="78A53DE1"/>
    <w:rsid w:val="78AF1D2D"/>
    <w:rsid w:val="78B418F9"/>
    <w:rsid w:val="78F17FE2"/>
    <w:rsid w:val="79061ACC"/>
    <w:rsid w:val="792B2D9D"/>
    <w:rsid w:val="79575799"/>
    <w:rsid w:val="79AD6A52"/>
    <w:rsid w:val="79BF22E2"/>
    <w:rsid w:val="7ADD4692"/>
    <w:rsid w:val="7BAE163C"/>
    <w:rsid w:val="7BCC30A5"/>
    <w:rsid w:val="7C0865DD"/>
    <w:rsid w:val="7C5843F6"/>
    <w:rsid w:val="7C9687CB"/>
    <w:rsid w:val="7C9D37FE"/>
    <w:rsid w:val="7D320806"/>
    <w:rsid w:val="7D3C214F"/>
    <w:rsid w:val="7D9B0EBC"/>
    <w:rsid w:val="7D9D5AFC"/>
    <w:rsid w:val="7E8C1E04"/>
    <w:rsid w:val="7EDA0D6B"/>
    <w:rsid w:val="7FF99DFC"/>
    <w:rsid w:val="C9FF0162"/>
    <w:rsid w:val="CFE98357"/>
    <w:rsid w:val="DAB088BE"/>
    <w:rsid w:val="DEBFF072"/>
    <w:rsid w:val="DEFF83AD"/>
    <w:rsid w:val="E54FA45C"/>
    <w:rsid w:val="EFAFE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0"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4"/>
    <w:qFormat/>
    <w:uiPriority w:val="0"/>
    <w:pPr>
      <w:keepNext/>
      <w:keepLines/>
      <w:spacing w:before="340" w:after="330" w:line="576" w:lineRule="auto"/>
      <w:jc w:val="center"/>
      <w:outlineLvl w:val="0"/>
    </w:pPr>
    <w:rPr>
      <w:b/>
      <w:bCs/>
      <w:kern w:val="44"/>
      <w:sz w:val="36"/>
      <w:szCs w:val="44"/>
      <w:lang w:val="zh-CN"/>
    </w:rPr>
  </w:style>
  <w:style w:type="paragraph" w:styleId="3">
    <w:name w:val="heading 2"/>
    <w:basedOn w:val="1"/>
    <w:next w:val="1"/>
    <w:link w:val="45"/>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46"/>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47"/>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4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4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5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annotation text"/>
    <w:basedOn w:val="1"/>
    <w:link w:val="55"/>
    <w:unhideWhenUsed/>
    <w:qFormat/>
    <w:uiPriority w:val="99"/>
    <w:pPr>
      <w:jc w:val="left"/>
    </w:pPr>
  </w:style>
  <w:style w:type="paragraph" w:styleId="13">
    <w:name w:val="Salutation"/>
    <w:basedOn w:val="1"/>
    <w:next w:val="1"/>
    <w:unhideWhenUsed/>
    <w:qFormat/>
    <w:uiPriority w:val="0"/>
  </w:style>
  <w:style w:type="paragraph" w:styleId="14">
    <w:name w:val="Body Text 3"/>
    <w:basedOn w:val="1"/>
    <w:link w:val="56"/>
    <w:qFormat/>
    <w:uiPriority w:val="0"/>
    <w:rPr>
      <w:rFonts w:ascii="黑体" w:hAnsi="Arial" w:eastAsia="黑体"/>
      <w:b/>
      <w:kern w:val="0"/>
    </w:rPr>
  </w:style>
  <w:style w:type="paragraph" w:styleId="15">
    <w:name w:val="Body Text"/>
    <w:basedOn w:val="1"/>
    <w:qFormat/>
    <w:uiPriority w:val="1"/>
    <w:rPr>
      <w:rFonts w:ascii="宋体" w:hAnsi="宋体" w:eastAsia="宋体" w:cs="宋体"/>
      <w:sz w:val="21"/>
      <w:szCs w:val="21"/>
    </w:rPr>
  </w:style>
  <w:style w:type="paragraph" w:styleId="16">
    <w:name w:val="Body Text Indent"/>
    <w:basedOn w:val="1"/>
    <w:link w:val="57"/>
    <w:unhideWhenUsed/>
    <w:qFormat/>
    <w:uiPriority w:val="99"/>
    <w:pPr>
      <w:spacing w:after="120"/>
      <w:ind w:left="420" w:leftChars="200"/>
    </w:pPr>
  </w:style>
  <w:style w:type="paragraph" w:styleId="1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next w:val="5"/>
    <w:link w:val="58"/>
    <w:qFormat/>
    <w:uiPriority w:val="99"/>
    <w:rPr>
      <w:rFonts w:ascii="宋体" w:hAnsi="Courier New" w:cs="Courier New"/>
      <w:kern w:val="0"/>
      <w:sz w:val="20"/>
      <w:szCs w:val="21"/>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59"/>
    <w:unhideWhenUsed/>
    <w:qFormat/>
    <w:uiPriority w:val="99"/>
    <w:rPr>
      <w:sz w:val="18"/>
      <w:szCs w:val="18"/>
    </w:rPr>
  </w:style>
  <w:style w:type="paragraph" w:styleId="21">
    <w:name w:val="footer"/>
    <w:basedOn w:val="1"/>
    <w:link w:val="54"/>
    <w:unhideWhenUsed/>
    <w:qFormat/>
    <w:uiPriority w:val="99"/>
    <w:pPr>
      <w:tabs>
        <w:tab w:val="center" w:pos="4153"/>
        <w:tab w:val="right" w:pos="8306"/>
      </w:tabs>
      <w:snapToGrid w:val="0"/>
      <w:jc w:val="left"/>
    </w:pPr>
    <w:rPr>
      <w:sz w:val="18"/>
      <w:szCs w:val="18"/>
    </w:rPr>
  </w:style>
  <w:style w:type="paragraph" w:styleId="22">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b/>
      <w:bCs/>
      <w:caps/>
    </w:rPr>
  </w:style>
  <w:style w:type="paragraph" w:styleId="24">
    <w:name w:val="toc 4"/>
    <w:basedOn w:val="1"/>
    <w:next w:val="1"/>
    <w:semiHidden/>
    <w:unhideWhenUsed/>
    <w:qFormat/>
    <w:uiPriority w:val="39"/>
    <w:pPr>
      <w:ind w:left="1260" w:leftChars="600"/>
    </w:pPr>
  </w:style>
  <w:style w:type="paragraph" w:styleId="25">
    <w:name w:val="Subtitle"/>
    <w:basedOn w:val="1"/>
    <w:next w:val="1"/>
    <w:link w:val="60"/>
    <w:qFormat/>
    <w:uiPriority w:val="0"/>
    <w:pPr>
      <w:spacing w:before="240" w:after="60" w:line="312" w:lineRule="auto"/>
      <w:jc w:val="center"/>
      <w:outlineLvl w:val="1"/>
    </w:pPr>
    <w:rPr>
      <w:rFonts w:ascii="Cambria" w:hAnsi="Cambria" w:eastAsia="方正楷体简体"/>
      <w:bCs/>
      <w:kern w:val="28"/>
      <w:sz w:val="20"/>
      <w:szCs w:val="32"/>
    </w:rPr>
  </w:style>
  <w:style w:type="paragraph" w:styleId="26">
    <w:name w:val="toc 2"/>
    <w:basedOn w:val="1"/>
    <w:next w:val="1"/>
    <w:qFormat/>
    <w:uiPriority w:val="39"/>
    <w:pPr>
      <w:ind w:left="420" w:leftChars="200"/>
    </w:pPr>
    <w:rPr>
      <w:sz w:val="24"/>
    </w:rPr>
  </w:style>
  <w:style w:type="paragraph" w:styleId="27">
    <w:name w:val="Body Text 2"/>
    <w:basedOn w:val="1"/>
    <w:next w:val="15"/>
    <w:qFormat/>
    <w:uiPriority w:val="0"/>
    <w:rPr>
      <w:color w:val="0000FF"/>
      <w:sz w:val="24"/>
    </w:rPr>
  </w:style>
  <w:style w:type="paragraph" w:styleId="2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9">
    <w:name w:val="Title"/>
    <w:basedOn w:val="1"/>
    <w:link w:val="61"/>
    <w:qFormat/>
    <w:uiPriority w:val="99"/>
    <w:pPr>
      <w:spacing w:before="240" w:after="60"/>
      <w:jc w:val="center"/>
      <w:outlineLvl w:val="0"/>
    </w:pPr>
    <w:rPr>
      <w:rFonts w:ascii="Cambria" w:hAnsi="Cambria" w:eastAsia="方正小标宋简体"/>
      <w:b/>
      <w:bCs/>
      <w:kern w:val="0"/>
      <w:sz w:val="44"/>
      <w:szCs w:val="32"/>
    </w:rPr>
  </w:style>
  <w:style w:type="paragraph" w:styleId="30">
    <w:name w:val="annotation subject"/>
    <w:basedOn w:val="12"/>
    <w:next w:val="12"/>
    <w:link w:val="62"/>
    <w:unhideWhenUsed/>
    <w:qFormat/>
    <w:uiPriority w:val="99"/>
    <w:rPr>
      <w:b/>
      <w:bCs/>
    </w:rPr>
  </w:style>
  <w:style w:type="paragraph" w:styleId="31">
    <w:name w:val="Body Text First Indent"/>
    <w:basedOn w:val="15"/>
    <w:qFormat/>
    <w:uiPriority w:val="0"/>
    <w:pPr>
      <w:ind w:firstLine="420" w:firstLineChars="100"/>
    </w:pPr>
  </w:style>
  <w:style w:type="paragraph" w:styleId="32">
    <w:name w:val="Body Text First Indent 2"/>
    <w:basedOn w:val="16"/>
    <w:qFormat/>
    <w:uiPriority w:val="0"/>
    <w:pPr>
      <w:spacing w:after="120"/>
      <w:ind w:left="420" w:leftChars="200" w:firstLine="420" w:firstLineChars="200"/>
    </w:pPr>
    <w:rPr>
      <w:sz w:val="21"/>
      <w:szCs w:val="24"/>
    </w:rPr>
  </w:style>
  <w:style w:type="table" w:styleId="34">
    <w:name w:val="Table Grid"/>
    <w:basedOn w:val="3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Emphasis"/>
    <w:qFormat/>
    <w:uiPriority w:val="0"/>
    <w:rPr>
      <w:rFonts w:hint="default" w:ascii="Times New Roman" w:hAnsi="Times New Roman" w:cs="Times New Roman"/>
    </w:rPr>
  </w:style>
  <w:style w:type="character" w:styleId="39">
    <w:name w:val="Hyperlink"/>
    <w:qFormat/>
    <w:uiPriority w:val="99"/>
    <w:rPr>
      <w:color w:val="0000FF"/>
      <w:u w:val="single"/>
    </w:rPr>
  </w:style>
  <w:style w:type="character" w:styleId="40">
    <w:name w:val="annotation reference"/>
    <w:basedOn w:val="35"/>
    <w:unhideWhenUsed/>
    <w:qFormat/>
    <w:uiPriority w:val="99"/>
    <w:rPr>
      <w:sz w:val="21"/>
      <w:szCs w:val="21"/>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3">
    <w:name w:val="无间隔1"/>
    <w:link w:val="63"/>
    <w:qFormat/>
    <w:uiPriority w:val="0"/>
    <w:rPr>
      <w:rFonts w:ascii="Calibri" w:hAnsi="Calibri" w:eastAsia="宋体" w:cs="Times New Roman"/>
      <w:sz w:val="22"/>
      <w:lang w:val="en-US" w:eastAsia="zh-CN" w:bidi="ar-SA"/>
    </w:rPr>
  </w:style>
  <w:style w:type="character" w:customStyle="1" w:styleId="44">
    <w:name w:val="标题 1 Char"/>
    <w:basedOn w:val="35"/>
    <w:link w:val="2"/>
    <w:qFormat/>
    <w:uiPriority w:val="0"/>
    <w:rPr>
      <w:rFonts w:ascii="Times New Roman" w:hAnsi="Times New Roman" w:eastAsia="宋体" w:cs="Times New Roman"/>
      <w:b/>
      <w:bCs/>
      <w:kern w:val="44"/>
      <w:sz w:val="36"/>
      <w:szCs w:val="44"/>
      <w:lang w:val="zh-CN"/>
    </w:rPr>
  </w:style>
  <w:style w:type="character" w:customStyle="1" w:styleId="45">
    <w:name w:val="标题 2 Char"/>
    <w:basedOn w:val="35"/>
    <w:link w:val="3"/>
    <w:qFormat/>
    <w:uiPriority w:val="0"/>
    <w:rPr>
      <w:rFonts w:ascii="Arial" w:hAnsi="Arial" w:eastAsia="黑体" w:cs="Times New Roman"/>
      <w:b/>
      <w:bCs/>
      <w:kern w:val="0"/>
      <w:sz w:val="32"/>
      <w:szCs w:val="32"/>
      <w:lang w:val="zh-CN"/>
    </w:rPr>
  </w:style>
  <w:style w:type="character" w:customStyle="1" w:styleId="46">
    <w:name w:val="标题 3 Char"/>
    <w:basedOn w:val="35"/>
    <w:link w:val="4"/>
    <w:qFormat/>
    <w:uiPriority w:val="0"/>
    <w:rPr>
      <w:rFonts w:ascii="Times New Roman" w:hAnsi="Times New Roman" w:eastAsia="宋体" w:cs="Times New Roman"/>
      <w:b/>
      <w:bCs/>
      <w:kern w:val="0"/>
      <w:sz w:val="32"/>
      <w:szCs w:val="32"/>
    </w:rPr>
  </w:style>
  <w:style w:type="character" w:customStyle="1" w:styleId="47">
    <w:name w:val="标题 4 Char"/>
    <w:basedOn w:val="35"/>
    <w:link w:val="5"/>
    <w:qFormat/>
    <w:uiPriority w:val="0"/>
    <w:rPr>
      <w:rFonts w:ascii="仿宋_GB2312" w:hAnsi="Times New Roman" w:eastAsia="仿宋_GB2312" w:cs="Times New Roman"/>
      <w:kern w:val="0"/>
      <w:sz w:val="28"/>
      <w:szCs w:val="24"/>
    </w:rPr>
  </w:style>
  <w:style w:type="character" w:customStyle="1" w:styleId="48">
    <w:name w:val="标题 5 Char"/>
    <w:basedOn w:val="35"/>
    <w:link w:val="6"/>
    <w:qFormat/>
    <w:uiPriority w:val="0"/>
    <w:rPr>
      <w:rFonts w:ascii="宋体" w:hAnsi="宋体" w:eastAsia="宋体" w:cs="Times New Roman"/>
      <w:b/>
      <w:kern w:val="21"/>
      <w:sz w:val="28"/>
      <w:szCs w:val="20"/>
      <w:lang w:eastAsia="ar-SA"/>
    </w:rPr>
  </w:style>
  <w:style w:type="character" w:customStyle="1" w:styleId="49">
    <w:name w:val="标题 6 Char"/>
    <w:basedOn w:val="35"/>
    <w:link w:val="7"/>
    <w:qFormat/>
    <w:uiPriority w:val="0"/>
    <w:rPr>
      <w:rFonts w:ascii="Arial" w:hAnsi="Arial" w:eastAsia="黑体" w:cs="Times New Roman"/>
      <w:b/>
      <w:kern w:val="21"/>
      <w:sz w:val="24"/>
      <w:szCs w:val="20"/>
      <w:lang w:eastAsia="ar-SA"/>
    </w:rPr>
  </w:style>
  <w:style w:type="character" w:customStyle="1" w:styleId="50">
    <w:name w:val="标题 7 Char"/>
    <w:basedOn w:val="35"/>
    <w:link w:val="8"/>
    <w:qFormat/>
    <w:uiPriority w:val="0"/>
    <w:rPr>
      <w:rFonts w:ascii="宋体" w:hAnsi="宋体" w:eastAsia="宋体" w:cs="Times New Roman"/>
      <w:b/>
      <w:kern w:val="21"/>
      <w:sz w:val="24"/>
      <w:szCs w:val="20"/>
      <w:lang w:eastAsia="ar-SA"/>
    </w:rPr>
  </w:style>
  <w:style w:type="character" w:customStyle="1" w:styleId="51">
    <w:name w:val="标题 8 Char"/>
    <w:basedOn w:val="35"/>
    <w:link w:val="9"/>
    <w:qFormat/>
    <w:uiPriority w:val="0"/>
    <w:rPr>
      <w:rFonts w:ascii="Arial" w:hAnsi="Arial" w:eastAsia="黑体" w:cs="Times New Roman"/>
      <w:kern w:val="21"/>
      <w:sz w:val="24"/>
      <w:szCs w:val="20"/>
      <w:lang w:eastAsia="ar-SA"/>
    </w:rPr>
  </w:style>
  <w:style w:type="character" w:customStyle="1" w:styleId="52">
    <w:name w:val="标题 9 Char"/>
    <w:basedOn w:val="35"/>
    <w:link w:val="10"/>
    <w:qFormat/>
    <w:uiPriority w:val="0"/>
    <w:rPr>
      <w:rFonts w:ascii="Arial" w:hAnsi="Arial" w:eastAsia="黑体" w:cs="Times New Roman"/>
      <w:kern w:val="21"/>
      <w:szCs w:val="20"/>
      <w:lang w:eastAsia="ar-SA"/>
    </w:rPr>
  </w:style>
  <w:style w:type="character" w:customStyle="1" w:styleId="53">
    <w:name w:val="页眉 Char"/>
    <w:basedOn w:val="35"/>
    <w:link w:val="22"/>
    <w:qFormat/>
    <w:uiPriority w:val="99"/>
    <w:rPr>
      <w:sz w:val="18"/>
      <w:szCs w:val="18"/>
    </w:rPr>
  </w:style>
  <w:style w:type="character" w:customStyle="1" w:styleId="54">
    <w:name w:val="页脚 Char"/>
    <w:basedOn w:val="35"/>
    <w:link w:val="21"/>
    <w:qFormat/>
    <w:uiPriority w:val="99"/>
    <w:rPr>
      <w:sz w:val="18"/>
      <w:szCs w:val="18"/>
    </w:rPr>
  </w:style>
  <w:style w:type="character" w:customStyle="1" w:styleId="55">
    <w:name w:val="批注文字 Char"/>
    <w:basedOn w:val="35"/>
    <w:link w:val="12"/>
    <w:qFormat/>
    <w:uiPriority w:val="99"/>
    <w:rPr>
      <w:rFonts w:ascii="Times New Roman" w:hAnsi="Times New Roman" w:eastAsia="宋体" w:cs="Times New Roman"/>
      <w:sz w:val="28"/>
      <w:szCs w:val="20"/>
    </w:rPr>
  </w:style>
  <w:style w:type="character" w:customStyle="1" w:styleId="56">
    <w:name w:val="正文文本 3 Char"/>
    <w:basedOn w:val="35"/>
    <w:link w:val="14"/>
    <w:qFormat/>
    <w:uiPriority w:val="0"/>
    <w:rPr>
      <w:rFonts w:ascii="黑体" w:hAnsi="Arial" w:eastAsia="黑体" w:cs="Times New Roman"/>
      <w:b/>
      <w:kern w:val="0"/>
      <w:sz w:val="28"/>
      <w:szCs w:val="20"/>
    </w:rPr>
  </w:style>
  <w:style w:type="character" w:customStyle="1" w:styleId="57">
    <w:name w:val="正文文本缩进 Char"/>
    <w:basedOn w:val="35"/>
    <w:link w:val="16"/>
    <w:qFormat/>
    <w:uiPriority w:val="99"/>
    <w:rPr>
      <w:rFonts w:ascii="Times New Roman" w:hAnsi="Times New Roman" w:eastAsia="宋体" w:cs="Times New Roman"/>
      <w:sz w:val="28"/>
      <w:szCs w:val="20"/>
    </w:rPr>
  </w:style>
  <w:style w:type="character" w:customStyle="1" w:styleId="58">
    <w:name w:val="纯文本 Char"/>
    <w:basedOn w:val="35"/>
    <w:link w:val="18"/>
    <w:qFormat/>
    <w:uiPriority w:val="99"/>
    <w:rPr>
      <w:rFonts w:ascii="宋体" w:hAnsi="Courier New" w:eastAsia="宋体" w:cs="Courier New"/>
      <w:kern w:val="0"/>
      <w:sz w:val="20"/>
      <w:szCs w:val="21"/>
    </w:rPr>
  </w:style>
  <w:style w:type="character" w:customStyle="1" w:styleId="59">
    <w:name w:val="批注框文本 Char"/>
    <w:basedOn w:val="35"/>
    <w:link w:val="20"/>
    <w:qFormat/>
    <w:uiPriority w:val="99"/>
    <w:rPr>
      <w:rFonts w:ascii="Times New Roman" w:hAnsi="Times New Roman" w:eastAsia="宋体" w:cs="Times New Roman"/>
      <w:sz w:val="18"/>
      <w:szCs w:val="18"/>
    </w:rPr>
  </w:style>
  <w:style w:type="character" w:customStyle="1" w:styleId="60">
    <w:name w:val="副标题 Char"/>
    <w:basedOn w:val="35"/>
    <w:link w:val="25"/>
    <w:qFormat/>
    <w:uiPriority w:val="0"/>
    <w:rPr>
      <w:rFonts w:ascii="Cambria" w:hAnsi="Cambria" w:eastAsia="方正楷体简体" w:cs="Times New Roman"/>
      <w:bCs/>
      <w:kern w:val="28"/>
      <w:sz w:val="20"/>
      <w:szCs w:val="32"/>
    </w:rPr>
  </w:style>
  <w:style w:type="character" w:customStyle="1" w:styleId="61">
    <w:name w:val="标题 Char"/>
    <w:basedOn w:val="35"/>
    <w:link w:val="29"/>
    <w:qFormat/>
    <w:uiPriority w:val="99"/>
    <w:rPr>
      <w:rFonts w:ascii="Cambria" w:hAnsi="Cambria" w:eastAsia="方正小标宋简体" w:cs="Times New Roman"/>
      <w:b/>
      <w:bCs/>
      <w:kern w:val="0"/>
      <w:sz w:val="44"/>
      <w:szCs w:val="32"/>
    </w:rPr>
  </w:style>
  <w:style w:type="character" w:customStyle="1" w:styleId="62">
    <w:name w:val="批注主题 Char"/>
    <w:basedOn w:val="55"/>
    <w:link w:val="30"/>
    <w:qFormat/>
    <w:uiPriority w:val="99"/>
    <w:rPr>
      <w:rFonts w:ascii="Times New Roman" w:hAnsi="Times New Roman" w:eastAsia="宋体" w:cs="Times New Roman"/>
      <w:b/>
      <w:bCs/>
      <w:sz w:val="28"/>
      <w:szCs w:val="20"/>
    </w:rPr>
  </w:style>
  <w:style w:type="character" w:customStyle="1" w:styleId="63">
    <w:name w:val="无间隔 Char"/>
    <w:link w:val="43"/>
    <w:qFormat/>
    <w:uiPriority w:val="0"/>
    <w:rPr>
      <w:rFonts w:ascii="Calibri" w:hAnsi="Calibri" w:eastAsia="宋体" w:cs="Times New Roman"/>
      <w:kern w:val="0"/>
      <w:sz w:val="22"/>
      <w:szCs w:val="20"/>
    </w:rPr>
  </w:style>
  <w:style w:type="paragraph" w:customStyle="1" w:styleId="64">
    <w:name w:val="列出段落2"/>
    <w:basedOn w:val="1"/>
    <w:qFormat/>
    <w:uiPriority w:val="34"/>
    <w:pPr>
      <w:ind w:firstLine="420" w:firstLineChars="200"/>
    </w:pPr>
    <w:rPr>
      <w:szCs w:val="21"/>
    </w:rPr>
  </w:style>
  <w:style w:type="paragraph" w:customStyle="1" w:styleId="6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6">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6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正文2 Char Char"/>
    <w:link w:val="69"/>
    <w:qFormat/>
    <w:uiPriority w:val="0"/>
    <w:rPr>
      <w:sz w:val="24"/>
    </w:rPr>
  </w:style>
  <w:style w:type="paragraph" w:customStyle="1" w:styleId="69">
    <w:name w:val="正文2"/>
    <w:basedOn w:val="1"/>
    <w:link w:val="68"/>
    <w:qFormat/>
    <w:uiPriority w:val="0"/>
    <w:pPr>
      <w:adjustRightInd w:val="0"/>
      <w:spacing w:before="156" w:line="360" w:lineRule="auto"/>
      <w:ind w:firstLine="510" w:firstLineChars="200"/>
    </w:pPr>
    <w:rPr>
      <w:rFonts w:asciiTheme="minorHAnsi" w:hAnsiTheme="minorHAnsi" w:eastAsiaTheme="minorEastAsia" w:cstheme="minorBidi"/>
      <w:sz w:val="24"/>
      <w:szCs w:val="22"/>
    </w:rPr>
  </w:style>
  <w:style w:type="paragraph" w:customStyle="1" w:styleId="7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qFormat/>
    <w:uiPriority w:val="0"/>
    <w:rPr>
      <w:rFonts w:ascii="Times New Roman" w:hAnsi="Times New Roman" w:eastAsia="Times New Roman" w:cs="Times New Roman"/>
      <w:sz w:val="24"/>
      <w:szCs w:val="24"/>
      <w:lang w:val="en-US" w:eastAsia="zh-CN" w:bidi="ar-SA"/>
    </w:rPr>
  </w:style>
  <w:style w:type="paragraph" w:customStyle="1" w:styleId="72">
    <w:name w:val="Normal_1"/>
    <w:qFormat/>
    <w:uiPriority w:val="0"/>
    <w:rPr>
      <w:rFonts w:ascii="宋体" w:hAnsi="宋体" w:eastAsia="宋体" w:cs="Times New Roman"/>
      <w:sz w:val="24"/>
      <w:szCs w:val="24"/>
      <w:lang w:val="en-US" w:eastAsia="zh-CN" w:bidi="ar-SA"/>
    </w:rPr>
  </w:style>
  <w:style w:type="paragraph" w:customStyle="1" w:styleId="73">
    <w:name w:val="列出段落3"/>
    <w:basedOn w:val="1"/>
    <w:qFormat/>
    <w:uiPriority w:val="34"/>
    <w:pPr>
      <w:ind w:firstLine="420" w:firstLineChars="200"/>
    </w:pPr>
  </w:style>
  <w:style w:type="paragraph" w:customStyle="1" w:styleId="74">
    <w:name w:val="Table Paragraph"/>
    <w:basedOn w:val="1"/>
    <w:qFormat/>
    <w:uiPriority w:val="1"/>
    <w:rPr>
      <w:rFonts w:ascii="宋体" w:hAnsi="宋体" w:eastAsia="宋体" w:cs="宋体"/>
    </w:rPr>
  </w:style>
  <w:style w:type="paragraph" w:customStyle="1" w:styleId="75">
    <w:name w:val="_Style 4"/>
    <w:basedOn w:val="2"/>
    <w:next w:val="1"/>
    <w:qFormat/>
    <w:uiPriority w:val="0"/>
    <w:pPr>
      <w:numPr>
        <w:ilvl w:val="0"/>
        <w:numId w:val="0"/>
      </w:numPr>
      <w:adjustRightInd/>
      <w:spacing w:line="576" w:lineRule="auto"/>
      <w:jc w:val="both"/>
      <w:outlineLvl w:val="9"/>
    </w:pPr>
    <w:rPr>
      <w:rFonts w:ascii="Calibri" w:hAnsi="Calibri"/>
      <w:szCs w:val="44"/>
    </w:rPr>
  </w:style>
  <w:style w:type="table" w:customStyle="1" w:styleId="76">
    <w:name w:val="Table Normal"/>
    <w:semiHidden/>
    <w:unhideWhenUsed/>
    <w:qFormat/>
    <w:uiPriority w:val="0"/>
    <w:tblPr>
      <w:tblCellMar>
        <w:top w:w="0" w:type="dxa"/>
        <w:left w:w="0" w:type="dxa"/>
        <w:bottom w:w="0" w:type="dxa"/>
        <w:right w:w="0" w:type="dxa"/>
      </w:tblCellMar>
    </w:tblPr>
  </w:style>
  <w:style w:type="character" w:customStyle="1" w:styleId="77">
    <w:name w:val="font21"/>
    <w:basedOn w:val="35"/>
    <w:qFormat/>
    <w:uiPriority w:val="0"/>
    <w:rPr>
      <w:rFonts w:ascii="宋体" w:hAnsi="宋体" w:eastAsia="宋体" w:cs="宋体"/>
      <w:b/>
      <w:bCs/>
      <w:color w:val="000000"/>
      <w:sz w:val="14"/>
      <w:szCs w:val="14"/>
      <w:u w:val="none"/>
    </w:rPr>
  </w:style>
  <w:style w:type="character" w:customStyle="1" w:styleId="78">
    <w:name w:val="font31"/>
    <w:basedOn w:val="35"/>
    <w:qFormat/>
    <w:uiPriority w:val="0"/>
    <w:rPr>
      <w:rFonts w:ascii="宋体" w:hAnsi="宋体" w:eastAsia="宋体" w:cs="宋体"/>
      <w:color w:val="000000"/>
      <w:sz w:val="14"/>
      <w:szCs w:val="14"/>
      <w:u w:val="none"/>
    </w:rPr>
  </w:style>
  <w:style w:type="character" w:customStyle="1" w:styleId="79">
    <w:name w:val="font41"/>
    <w:basedOn w:val="35"/>
    <w:qFormat/>
    <w:uiPriority w:val="0"/>
    <w:rPr>
      <w:rFonts w:hint="default" w:ascii="Arial" w:hAnsi="Arial" w:cs="Arial"/>
      <w:color w:val="000000"/>
      <w:sz w:val="6"/>
      <w:szCs w:val="6"/>
      <w:u w:val="none"/>
    </w:rPr>
  </w:style>
  <w:style w:type="character" w:customStyle="1" w:styleId="80">
    <w:name w:val="font51"/>
    <w:basedOn w:val="35"/>
    <w:qFormat/>
    <w:uiPriority w:val="0"/>
    <w:rPr>
      <w:rFonts w:hint="default" w:ascii="Arial" w:hAnsi="Arial" w:cs="Arial"/>
      <w:color w:val="000000"/>
      <w:sz w:val="7"/>
      <w:szCs w:val="7"/>
      <w:u w:val="none"/>
    </w:rPr>
  </w:style>
  <w:style w:type="character" w:customStyle="1" w:styleId="81">
    <w:name w:val="font11"/>
    <w:basedOn w:val="35"/>
    <w:qFormat/>
    <w:uiPriority w:val="0"/>
    <w:rPr>
      <w:rFonts w:ascii="宋体" w:hAnsi="宋体" w:eastAsia="宋体" w:cs="宋体"/>
      <w:color w:val="000000"/>
      <w:sz w:val="14"/>
      <w:szCs w:val="14"/>
      <w:u w:val="none"/>
    </w:rPr>
  </w:style>
  <w:style w:type="character" w:customStyle="1" w:styleId="82">
    <w:name w:val="font61"/>
    <w:basedOn w:val="35"/>
    <w:qFormat/>
    <w:uiPriority w:val="0"/>
    <w:rPr>
      <w:rFonts w:hint="default" w:ascii="Arial" w:hAnsi="Arial" w:cs="Arial"/>
      <w:color w:val="000000"/>
      <w:sz w:val="7"/>
      <w:szCs w:val="7"/>
      <w:u w:val="none"/>
    </w:rPr>
  </w:style>
  <w:style w:type="paragraph" w:customStyle="1" w:styleId="83">
    <w:name w:val="Table Text"/>
    <w:basedOn w:val="1"/>
    <w:semiHidden/>
    <w:qFormat/>
    <w:uiPriority w:val="0"/>
    <w:rPr>
      <w:rFonts w:ascii="宋体" w:hAnsi="宋体" w:eastAsia="宋体" w:cs="宋体"/>
      <w:sz w:val="20"/>
      <w:szCs w:val="20"/>
      <w:lang w:val="en-US" w:eastAsia="en-US" w:bidi="ar-SA"/>
    </w:rPr>
  </w:style>
  <w:style w:type="paragraph" w:customStyle="1" w:styleId="84">
    <w:name w:val="Body text|1"/>
    <w:basedOn w:val="1"/>
    <w:qFormat/>
    <w:uiPriority w:val="0"/>
    <w:pPr>
      <w:widowControl w:val="0"/>
      <w:shd w:val="clear" w:color="auto" w:fill="auto"/>
      <w:spacing w:line="408" w:lineRule="auto"/>
    </w:pPr>
    <w:rPr>
      <w:rFonts w:ascii="宋体" w:hAnsi="宋体" w:eastAsia="宋体" w:cs="宋体"/>
      <w:sz w:val="28"/>
      <w:szCs w:val="28"/>
      <w:u w:val="none"/>
      <w:shd w:val="clear" w:color="auto" w:fill="auto"/>
      <w:lang w:val="zh-TW" w:eastAsia="zh-TW" w:bidi="zh-TW"/>
    </w:rPr>
  </w:style>
  <w:style w:type="paragraph" w:customStyle="1" w:styleId="85">
    <w:name w:val="BodyText"/>
    <w:basedOn w:val="1"/>
    <w:qFormat/>
    <w:uiPriority w:val="0"/>
    <w:pPr>
      <w:spacing w:after="120"/>
    </w:pPr>
  </w:style>
  <w:style w:type="paragraph" w:styleId="8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77</Pages>
  <Words>30248</Words>
  <Characters>31810</Characters>
  <Lines>190</Lines>
  <Paragraphs>53</Paragraphs>
  <TotalTime>56</TotalTime>
  <ScaleCrop>false</ScaleCrop>
  <LinksUpToDate>false</LinksUpToDate>
  <CharactersWithSpaces>32898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2019-09-09T04:05:00Z</dcterms:created>
  <dc:creator>NTKO</dc:creator>
  <cp:lastModifiedBy>李敏</cp:lastModifiedBy>
  <cp:lastPrinted>2024-03-27T09:53:00Z</cp:lastPrinted>
  <dcterms:modified xsi:type="dcterms:W3CDTF">2025-12-12T08:26:45Z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A638CA36970B4A5AADB3A2E1F9E9F233_13</vt:lpwstr>
  </property>
  <property fmtid="{D5CDD505-2E9C-101B-9397-08002B2CF9AE}" pid="4" name="KSOTemplateDocerSaveRecord">
    <vt:lpwstr>eyJoZGlkIjoiOTNiYjk4YjJiZTk3MTM2YWExMDFmNTQ1MzkzOWUzMTQiLCJ1c2VySWQiOiIxNjM5NDc5ODU0In0=</vt:lpwstr>
  </property>
</Properties>
</file>