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90" w:name="_GoBack"/>
      <w:r>
        <w:rPr>
          <w:rFonts w:hint="eastAsia"/>
          <w:b/>
          <w:bCs/>
          <w:sz w:val="56"/>
          <w:szCs w:val="40"/>
          <w:lang w:eastAsia="zh-CN"/>
        </w:rPr>
        <w:t>国家税务总局乌拉特前旗税务局</w:t>
      </w:r>
    </w:p>
    <w:p>
      <w:pPr>
        <w:jc w:val="center"/>
        <w:rPr>
          <w:rFonts w:hint="default"/>
          <w:b/>
          <w:bCs/>
          <w:sz w:val="56"/>
          <w:szCs w:val="40"/>
          <w:lang w:val="en-US"/>
        </w:rPr>
      </w:pPr>
      <w:r>
        <w:rPr>
          <w:rFonts w:hint="eastAsia"/>
          <w:b/>
          <w:bCs/>
          <w:sz w:val="56"/>
          <w:szCs w:val="40"/>
          <w:lang w:eastAsia="zh-CN"/>
        </w:rPr>
        <w:t>物业管理服务项目</w:t>
      </w:r>
      <w:r>
        <w:rPr>
          <w:rFonts w:hint="eastAsia"/>
          <w:b/>
          <w:bCs/>
          <w:sz w:val="56"/>
          <w:szCs w:val="40"/>
          <w:lang w:val="en-US" w:eastAsia="zh-CN"/>
        </w:rPr>
        <w:t>(二次)</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eastAsia" w:eastAsia="宋体"/>
          <w:b/>
          <w:bCs/>
          <w:sz w:val="18"/>
          <w:lang w:val="en-US" w:eastAsia="zh-CN"/>
        </w:rPr>
      </w:pPr>
      <w:r>
        <w:rPr>
          <w:rFonts w:hint="eastAsia"/>
          <w:b/>
          <w:bCs/>
          <w:sz w:val="32"/>
        </w:rPr>
        <w:t>招标编号：</w:t>
      </w:r>
      <w:r>
        <w:rPr>
          <w:rFonts w:hint="eastAsia" w:cs="Times New Roman"/>
          <w:b/>
          <w:bCs/>
          <w:sz w:val="32"/>
          <w:lang w:val="en-US" w:eastAsia="zh-CN"/>
        </w:rPr>
        <w:t>NMGCB-2025-066</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bookmarkEnd w:id="90"/>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cs="宋体"/>
          <w:sz w:val="24"/>
          <w:szCs w:val="24"/>
          <w:lang w:val="en-US" w:eastAsia="zh-CN"/>
        </w:rPr>
        <w:t>上</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val="en-US" w:eastAsia="zh-CN"/>
        </w:rPr>
        <w:t>国家税务总局乌拉特前旗税务局物业管理服务项目（二次）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w:t>
      </w:r>
      <w:r>
        <w:rPr>
          <w:rFonts w:hint="eastAsia" w:cs="宋体"/>
          <w:sz w:val="24"/>
          <w:szCs w:val="24"/>
          <w:lang w:val="en-US" w:eastAsia="zh-CN"/>
        </w:rPr>
        <w:t>6</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96万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cs="宋体"/>
          <w:i w:val="0"/>
          <w:iCs w:val="0"/>
          <w:caps w:val="0"/>
          <w:color w:val="383838"/>
          <w:spacing w:val="0"/>
          <w:sz w:val="24"/>
          <w:szCs w:val="24"/>
          <w:shd w:val="clear" w:color="auto" w:fill="FFFFFF"/>
          <w:vertAlign w:val="baseline"/>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2026年2月1日至2027年1月31日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27</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w:t>
      </w: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（本项目为资格后审，获取招标文件时提供下述资料加盖公章的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
    <w:p/>
    <w:p/>
    <w:p/>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最高投标限价：960000元。（单年合同最高投标限价）</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本项目为服务类采购项目，采购标的对应的中小企业划分标准所属行业为服务业。</w:t>
            </w:r>
          </w:p>
        </w:tc>
      </w:tr>
    </w:tbl>
    <w:p>
      <w:pPr>
        <w:rPr>
          <w:rFonts w:hint="eastAsia" w:ascii="宋体" w:hAnsi="宋体" w:eastAsia="宋体" w:cs="宋体"/>
          <w:b/>
          <w:bCs/>
          <w:color w:val="000000"/>
          <w:sz w:val="24"/>
          <w:szCs w:val="24"/>
          <w:highlight w:val="none"/>
          <w:lang w:val="en-US" w:eastAsia="zh-CN"/>
        </w:rPr>
      </w:pPr>
      <w:bookmarkStart w:id="7" w:name="_Toc20569"/>
      <w:bookmarkStart w:id="8" w:name="_Toc9471"/>
      <w:bookmarkStart w:id="9" w:name="_Toc22692_WPSOffice_Level2"/>
      <w:bookmarkStart w:id="10" w:name="_Toc32082"/>
      <w:bookmarkStart w:id="11" w:name="_Toc13480"/>
      <w:bookmarkStart w:id="12" w:name="_Toc7877_WPSOffice_Level2"/>
      <w:bookmarkStart w:id="13" w:name="_Toc3053_WPSOffice_Level2"/>
      <w:bookmarkStart w:id="14" w:name="_Toc14168_WPSOffice_Level2"/>
      <w:bookmarkStart w:id="15" w:name="_Toc27706"/>
      <w:bookmarkStart w:id="16" w:name="_Toc26828"/>
      <w:bookmarkStart w:id="17" w:name="_Toc266431117"/>
      <w:bookmarkStart w:id="18" w:name="_Toc18363_WPSOffice_Level2"/>
      <w:bookmarkStart w:id="19" w:name="_Toc22901_WPSOffice_Level2"/>
      <w:bookmarkStart w:id="20" w:name="_Toc422403355"/>
      <w:bookmarkStart w:id="21" w:name="_Toc28419_WPSOffice_Level2"/>
      <w:bookmarkStart w:id="22" w:name="_Toc266431157"/>
      <w:bookmarkStart w:id="23" w:name="_Toc447030613"/>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3337_WPSOffice_Level3"/>
      <w:bookmarkStart w:id="26" w:name="_Toc54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bookmarkEnd w:id="22"/>
    <w:bookmarkEnd w:id="23"/>
    <w:tbl>
      <w:tblPr>
        <w:tblStyle w:val="76"/>
        <w:tblW w:w="9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8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rPr>
            </w:pPr>
            <w:bookmarkStart w:id="30" w:name="_Toc866"/>
            <w:bookmarkStart w:id="31" w:name="_Toc3910"/>
            <w:bookmarkStart w:id="32" w:name="_Toc6090"/>
            <w:r>
              <w:rPr>
                <w:rFonts w:hint="eastAsia" w:ascii="宋体" w:hAnsi="宋体" w:eastAsia="宋体" w:cs="宋体"/>
                <w:spacing w:val="-3"/>
                <w:sz w:val="24"/>
                <w:szCs w:val="24"/>
              </w:rPr>
              <w:t>序号</w:t>
            </w:r>
          </w:p>
        </w:tc>
        <w:tc>
          <w:tcPr>
            <w:tcW w:w="8607"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rPr>
              <w:t>技术</w:t>
            </w:r>
            <w:r>
              <w:rPr>
                <w:rFonts w:hint="eastAsia" w:ascii="宋体" w:hAnsi="宋体" w:eastAsia="宋体" w:cs="宋体"/>
                <w:spacing w:val="-3"/>
                <w:sz w:val="24"/>
                <w:szCs w:val="24"/>
                <w:lang w:val="en-US" w:eastAsia="zh-CN"/>
              </w:rPr>
              <w:t>要求</w:t>
            </w:r>
            <w:r>
              <w:rPr>
                <w:rFonts w:hint="eastAsia" w:ascii="宋体" w:hAnsi="宋体" w:eastAsia="宋体" w:cs="宋体"/>
                <w:spacing w:val="-3"/>
                <w:sz w:val="24"/>
                <w:szCs w:val="24"/>
              </w:rPr>
              <w:t>与</w:t>
            </w:r>
            <w:r>
              <w:rPr>
                <w:rFonts w:hint="eastAsia" w:ascii="宋体" w:hAnsi="宋体" w:eastAsia="宋体" w:cs="宋体"/>
                <w:spacing w:val="-3"/>
                <w:sz w:val="24"/>
                <w:szCs w:val="24"/>
                <w:lang w:val="en-US" w:eastAsia="zh-CN"/>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9"/>
              <w:jc w:val="center"/>
              <w:rPr>
                <w:rFonts w:hint="eastAsia" w:ascii="宋体" w:hAnsi="宋体" w:eastAsia="宋体" w:cs="宋体"/>
                <w:spacing w:val="-3"/>
                <w:sz w:val="24"/>
                <w:szCs w:val="24"/>
              </w:rPr>
            </w:pPr>
            <w:r>
              <w:rPr>
                <w:rFonts w:hint="eastAsia" w:ascii="宋体" w:hAnsi="宋体" w:eastAsia="宋体" w:cs="宋体"/>
                <w:sz w:val="24"/>
                <w:szCs w:val="24"/>
              </w:rPr>
              <w:t>1</w:t>
            </w:r>
          </w:p>
        </w:tc>
        <w:tc>
          <w:tcPr>
            <w:tcW w:w="8607" w:type="dxa"/>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物业服务实施目标</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 开展物业管理争创示范单位工作。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做好垃圾分类工作。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服务合同履约率100%。</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重大安全责任事故为零。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2"/>
              <w:jc w:val="center"/>
              <w:rPr>
                <w:rFonts w:hint="eastAsia" w:ascii="宋体" w:hAnsi="宋体" w:eastAsia="宋体" w:cs="宋体"/>
                <w:spacing w:val="-3"/>
                <w:sz w:val="24"/>
                <w:szCs w:val="24"/>
              </w:rPr>
            </w:pPr>
            <w:r>
              <w:rPr>
                <w:rFonts w:hint="eastAsia" w:ascii="宋体" w:hAnsi="宋体" w:eastAsia="宋体" w:cs="宋体"/>
                <w:sz w:val="24"/>
                <w:szCs w:val="24"/>
              </w:rPr>
              <w:t>2</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一、服务地点、范围</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局机关大楼概况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面积：房屋建筑面积7079.33平米(院落不计入此面积)，共6层。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3处会议室，1处阅览室、1处活动室、1处餐厅、每层设卫生间、及若干办公室。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lang w:eastAsia="zh-CN"/>
              </w:rPr>
            </w:pPr>
            <w:r>
              <w:rPr>
                <w:rFonts w:hint="eastAsia" w:ascii="宋体" w:hAnsi="宋体" w:eastAsia="宋体" w:cs="宋体"/>
                <w:sz w:val="24"/>
                <w:szCs w:val="24"/>
                <w:lang w:val="en-US" w:eastAsia="zh-CN"/>
              </w:rPr>
              <w:t>①</w:t>
            </w:r>
            <w:r>
              <w:rPr>
                <w:rFonts w:hint="eastAsia" w:ascii="宋体" w:hAnsi="宋体" w:eastAsia="宋体" w:cs="宋体"/>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lang w:eastAsia="zh-CN"/>
              </w:rPr>
              <w:t>负责餐厅一日三餐的制作（早餐约150人、午晚约60人），合理安排膳食；负责原材料的清洗等；清洗餐厅餐具、厨具、维护餐厅区域的清洁卫生，做好餐厅餐具的收纳整理等。</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乌拉山税务分局概况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面积：共宗地面积12971.7平米、房屋建筑面积5900.5平米，共5层。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2处会议室、1处活动室、1处展厅、若干卫生间、若干办公室及宿舍。</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86"/>
              <w:numPr>
                <w:ilvl w:val="0"/>
                <w:numId w:val="0"/>
              </w:numPr>
              <w:spacing w:line="360" w:lineRule="auto"/>
              <w:ind w:leftChars="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乡镇税务分局（所）概况</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新安税务所距乌拉特前旗约30公里，每餐用餐人数不超过10人，土地使用权面积660.57平米，房屋建筑面积474.56平米，共2层，有院落。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额尔登布拉格苏木税务所距乌拉特前旗约25公里，每餐用餐人数不超过10人，共有宗地面积2250平米，房屋建筑面积947.46平米，共2层，有院落。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大佘太税务所距乌拉特前旗约65公里，每餐用餐人数不超过10人，土地使用权面积867.23平米，房屋建筑面积572.59平米，共2层，有院落。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明安税务所距乌拉特前旗约120公里，每餐用餐人数不超过10人，土地使用权面积1900.8平米，房屋建筑面积787.49平米，共2层，有院落。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工业园区税务分局距乌拉特前旗约70公里，每餐用餐人数不超过15人，共有宗地面积1248.5平米，房屋建筑面积904.44平米，共2层，有院落。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负责各税务分局及税务所餐厅一日三餐的制作，合理安排膳食；负责原材料的清洗等；清洗餐厅餐具、厨具、维护餐厅区域的清洁卫生，做好餐厅餐具的收纳整理等。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门卫安保、视频监控、来客登记引导、防火、防盗、公共秩序管理（车辆 、 自行车、人员的管理）等；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③</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4、总体要求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①中标方应严格遵守中华人民共和国国务院下发的《物业管理条例》，以及有关劳动法律法规等规定。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②中标方要建立完善的管理制度，具有明确的岗位职责、工作标准、考核措施及奖惩办法，以及详细的物业管理工作档案。</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③中标方必须服从采购方的管理，遵守采购方的各项规章制度，严格按照采购方的要求提供物业管理服务，无条件接受采购方对服务质量、服务内容、服务效果、人员配备、工资标准、在岗履职等日常工作的监督检查。无条件完成采购方安排部署的各项合理性工作任务。自觉接受相关地方管理部门的业务检查、监督和指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④采购方对岗位设置、人员选用与日常管理具有监督权和协调权。</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⑤遇到突发事件，中标方应立即组织人员赶到事发现场，采取紧急应对措施，减少损失，并做好记录，且因立即向采购方有关负责人报告事情的原由。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3"/>
              <w:jc w:val="center"/>
              <w:rPr>
                <w:rFonts w:hint="eastAsia" w:ascii="宋体" w:hAnsi="宋体" w:eastAsia="宋体" w:cs="宋体"/>
                <w:spacing w:val="-3"/>
                <w:sz w:val="24"/>
                <w:szCs w:val="24"/>
                <w:lang w:eastAsia="zh-CN"/>
              </w:rPr>
            </w:pPr>
            <w:r>
              <w:rPr>
                <w:rFonts w:hint="eastAsia" w:ascii="宋体" w:hAnsi="宋体" w:eastAsia="宋体" w:cs="宋体"/>
                <w:sz w:val="24"/>
                <w:szCs w:val="24"/>
                <w:lang w:val="en-US" w:eastAsia="zh-CN"/>
              </w:rPr>
              <w:t>3</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物业经理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1.负责物业服务的全面管理工作；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2.根据有关物业管理的法规、政策、对物业项目内的公共秩序、保洁、绿化养护3.设备设施运行维护保养进行管理；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4.健全物业的各类规章制度和防范措施；</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5.对物业服务发生的各类安全事故和隐患认真核实、区分责任、提出处理意见；</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6.指导并检查物业服务的清洁卫生和环境绿化、美化工作；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7.配合甲方的工作计划与日常工作安排。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0"/>
              <w:jc w:val="center"/>
              <w:rPr>
                <w:rFonts w:hint="eastAsia" w:ascii="宋体" w:hAnsi="宋体" w:eastAsia="宋体" w:cs="宋体"/>
                <w:spacing w:val="-3"/>
                <w:sz w:val="24"/>
                <w:szCs w:val="24"/>
                <w:lang w:eastAsia="zh-CN"/>
              </w:rPr>
            </w:pP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保安管理服务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1.制定科学合理的保安与技能管理方案，协助相关部门保证楼宇安全和正常工作秩序，建立健全保安岗位责任制（需持证上岗）。</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2.做好日常值班和巡查工作记录；</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3.保安工作执行24小时值班制度。认真贯彻执行安全岗位责任制、做到制度上墙，确保秩序良好，安全无事故。</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4.定岗检查，严格履行登记检查制度，认真填写工作记录，随时报告异常情况。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5.无脱岗现象，做到仪表整洁，标志齐全，服务周到。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6.做好对环境保护的监督，使之无乱扔、乱倒现象，对突发事件及时采取措施，控制局面并迅速报告相关部门。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7.五一、十一、元旦、春节等国家规定的节日要加强安保等秩序维护。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8.做好来访来客、物品出入登记。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9.安保人员做好秩序维护，办公楼内及院落禁止出现人员聚集、寻衅滋事等事件发生，确保治安事件发生率为零，协助相关部门做好办公区上访维稳等工作。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10.监控室严格值班管理，监控数据调取、查看需经过甲方审批后方可进行。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5</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保洁服务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一、公共区域卫生保洁：地面清洁：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1.对公共区域地面进行彻底清洁，保持干净、整洁。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白天循环保洁，维护地面清洁。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避开领导及工作人员上下班开会聚集的时间和区域，领导及工作人员离散后再保洁。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4.对领导及工作人员、来访人员进出频繁容易脏的区域重点保洁，并增加次数。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5.遇下雪和雨天在公共区域进出口放置地垫，放置“小心地滑”告示牌。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门厅清洁：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1.对门厅口标牌、墙面、门窗每周擦拭一次，台阶每天擦拭一次。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2.对玻璃门窗的浮尘、指印、脏渍巡视擦拭。</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家具清洁：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1.对公共区域内所有台、桌、凳、茶几等家具灰标牌和指示牌、栏杆、立柱烟缸、服务台每天擦拭一次。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2.每天一次清倒立式烟沙，保持清洁、卫生。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3.公共区域地面有纸张等杂物，及时捡起擦净。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通道走廊：</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1.房间门、通道门每周至少清洁一次，做到无灰尘、无污染、无污垢、明亮洁净。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2.金属设施每周至少清洁两次，做到无灰尘、无污渍、无印迹、透亮洁净。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3.卫生间镜子每天清洁1次，做到无灰尘、无污渍、无印迹、透亮洁净。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4.垃圾桶、烟缸每天清洁一次，做到垃圾不外溢、烟头少于5个。5.垃圾桶内垃圾要及时清理，保持垃圾桶内外洁净、无异味，同时更换垃圾袋。</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6.楼梯、扶手每周清洁至少两次，做到无灰尘、无污渍、无印迹、擦拭洁净。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 门窗，边框每周至少清洁一次，做到无灰尘、无污渍、无印迹、墙亮洁净。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8.墙面每周清洁一次，做到无灰尘、无污渍、无印迹、内外洁净。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9.天花板饰物每季清洁一次，做到无灰尘、无污渍、无印迹。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10.照明灯饰每月至少清洁一次，做到无灰尘、无污渍、无印迹、透亮洁净。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11.空调通风口每月清洁一次，做到无灰尘、无污渍、无印迹，内外洁净。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12.消防设施每月至少清洁一次，做到无灰尘、无污渍、无杂物、内外洁净。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13.廊道的花草每天擦拭清洁一次，做到叶面无灰尘，花盆无污渍，残枝败叶及时清扫 , 按要求做好浇水、养护。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消防楼梯：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1.地面台阶每天清洁一次，做到无灰尘、无垃圾、无污迹、干净清洁。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2.扶手、护栏每周清洁两次，做到无灰尘、无污渍、无印迹、内外洁净。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3.标志、标牌每天清洁一次，做到无灰尘、无污垢、无印迹、光亮洁净。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门窗、边框每周清洁两次，做到无灰尘、无污渍、无印迹、内外洁净。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5.墙面、脚踢板每天清洁一次，做到无灰尘、无污渍、无印迹、擦拭干净。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6.消防设施每周清洁一次，做到无灰尘，无污渍、无杂物、内外洁净。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7.照明天花板每周清洁一次，做到无灰尘、无污渍、无印迹、擦拭干净。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8.通风、空调口每周清洁一次，做到无灰尘、无污渍、无杂质、内外干净。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9.地面每天清洁两次，做到无灰尘，无杂物，无印迹、光亮洁净。洗手间：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1.地面每天清洁两次并巡视保洁，做到无杂物、无污渍、无水迹、光亮洁净。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2.垃圾每天倾倒一次，垃圾不得超过桶体2/3处、内外洁净。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3.便池每天清洁两次，做到无杂物、无污迹、无异味、内外洁净。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4.水龙头巡视保洁，做到无污清、无水垢、光亮洁净。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5.玻璃、镜子每天清洁两次并巡视保洁；做到无灰尘、无污迹、无水迹、透亮洁净。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6.洗手池、台面巡视保洁，做到无灰尘，无污迹、无水迹、光滑洁净。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7.金属设施巡视保洁，做到无灰尘、无污渍、无水迹、光亮洁净。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8.墙面、隔板每周清洁一次，做到无灰尘、无污迹、无污垢、内外洁净。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 门窗每周清洁一次，做到无灰尘，无污迹、无污垢、透亮洁净。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10.空调、通风口每周清洁一次，做到无灰尘、无杂物、无污垢、内外洁净。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11.照明设备每月清洁一次，做到无灰尘、无污迹、无污垢、明亮洁净。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12.办公楼公共卫生间区域通风及香氛机香氛液补充，确保该区域空气清新，无异味杂味。电梯：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1.按键墙面、显示屏每天清洁两次。做到无灰尘、无污渍、无杂物、光滑洁净。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电梯门、框每天清洁一次，做到无灰尘、无污渍、无杂物、内外洁净。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4.金属物品每天清洁一次，做到无灰尘、无污渍、无杂物、透亮洁净。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5.边角、脚踏板每天清洁两次，做到无灰尘、无污渍、无杂物、擦拭干净。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6.照明灯具、天花板等周清洁一次，做到无灰尘、无污渍、无杂物、光亮洁净。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7.通风、空调口每周清洁一次，做到无灰尘、无污渍、无杂物、内外洁净。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二、入室保洁：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1.部分办公室内家具、用品、设施等清洁光亮；挂在墙上的装饰画和地围、无框字画无尘、整洁。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2.办公室内物品摆放整齐。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3.每日检查卫生间内用电器和照明设备，根据情况及时登记报修。</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4.室内花草植物定期浇水、并保持花盆无污渍、无尘土，盆内无杂物。</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5.沙发、茶几下面灰尘每月至少清洁一次。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三、会议室：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1.设施每天清洁一次，做到表面干净、光亮无污染。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2.玻璃、镜子每周清洁两次。做到无水迹、无手印、光亮洁净。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3.墙面每周清洁一次，干净无浮尘。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4.地面、金属件每日清洁一次，做到无污迹、光亮洁净。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5.每次会议结束，彻底清洁。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6.各类杯具必须保持干净、卫生，定期消毒。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7.通风口每周清洁一次，做到清洁无尘。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8.顶灯每周清洁一次，做到无灰尘、无污染。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四、垃圾分类要求：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垃圾按照可回收  不可回收  干湿垃圾分类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6</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会议服务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1.会议通知：接到甲方主管部门会议通知后，及时通知保洁、服务等相关部门做好会前准备工作。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2.会议服务员应在会前30分钟到岗开管通风调整会议室内空调温度，保证会议室内无异味。</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3.会议室的地面、门窗、桌椅、植物要保持清洁，茶杯，会议文件等要摆放整齐。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4.服务人员在工作中，穿工装，保持服装整洁。不准浓妆艳抹，染头发，戴发卡，染指甲及留长指甲。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5.参会人入座后，要及时送上茶水等。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6.做到热情服务，并保持安静，等候服务时勤观察，不走、不交谈。</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7.会议开始后，服务员应站在一旁，并及时观察参会人员对茶水等物品的需求，一般每间隔15分钟倒水一次，续水时面颊带笑，精神饱满，续水时要关闭手机。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8.开会期间，会议服务人员要保证会议室内外环境安静，制止影响会议的事件发生。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9.会议结束后，服务员应在门口送参会人员离开会场，检查会议室内有无遗留物品，并将会议用品清洗干净，消毒，摆放整齐。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7</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餐饮服务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1.要做到食品加工精工细作，体现各大菜系正宗菜肴口味特色。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2.要不断推陈出新，研究大众菜和展现地方、民族特色。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3.要科学搭配食品，粗粮细做，品种丰富；要满足不同地域、不同群体及少数民族的饮食风味和民族习俗，做到刀工精细，配料合理， 口味纯正，外形美观。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4.要保证职工集中就餐的要求，保证菜品温度、外观、 口感。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5.要做到随时添餐，现添现做。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6.要注重菜肴的色、香、味、鲜，突出家常特色。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7.要挖掘地方特色小吃（如：各类面食、煎饼、烧麦、炸糕、馅饼、包子等）。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 传统节日和重大节日供应相关食品。食堂内就餐公共区域内的日常保洁工作。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9.食堂餐具的清洁、消毒及厨房日常管理工作。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10.卫生清扫：食堂日常卫生由厨房人员打扫，每月需要两次大扫除。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11.应急保障性服务：因工作需要或突发状况需要安排供餐的，中标人应按要求进行供餐保障。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8</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除害服务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1.突发公共卫生事件后对环境进行消毒。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2.配合城市爱卫会做好本单位的除“四害”工作。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3.公共场所要求24小时巡查，检查无堆放易燃、易爆物品，无乱搭电线，无违章用火用电，无挤占消防通道和设备，地面无堆放杂物。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9</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专项服务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服务内容：局机关及乌拉山税务分局一年两次全楼玻璃清洁工作。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1.做好高空作业人员安全防护以及培训工作，及时排除安全隐患。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2.高空作业人员发生安全事故，责任由物业公司承担。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cs="宋体"/>
                <w:spacing w:val="-3"/>
                <w:sz w:val="24"/>
                <w:szCs w:val="24"/>
                <w:lang w:val="en-US" w:eastAsia="zh-CN"/>
              </w:rPr>
              <w:t>10</w:t>
            </w:r>
          </w:p>
        </w:tc>
        <w:tc>
          <w:tcPr>
            <w:tcW w:w="8607" w:type="dxa"/>
            <w:vAlign w:val="center"/>
          </w:tcPr>
          <w:p>
            <w:pPr>
              <w:spacing w:line="360" w:lineRule="auto"/>
              <w:jc w:val="both"/>
              <w:rPr>
                <w:rFonts w:hint="eastAsia" w:eastAsia="宋体"/>
                <w:b/>
                <w:bCs/>
                <w:snapToGrid/>
                <w:lang w:val="en-US" w:eastAsia="zh-CN"/>
              </w:rPr>
            </w:pPr>
            <w:r>
              <w:rPr>
                <w:rFonts w:hint="eastAsia" w:eastAsia="宋体"/>
                <w:b/>
                <w:bCs/>
                <w:snapToGrid/>
                <w:lang w:val="en-US" w:eastAsia="zh-CN"/>
              </w:rPr>
              <w:t>人员配置（中标人可根据实际服务情况增减人数）</w:t>
            </w:r>
          </w:p>
          <w:p>
            <w:pPr>
              <w:spacing w:line="360" w:lineRule="auto"/>
              <w:jc w:val="both"/>
              <w:rPr>
                <w:rFonts w:hint="eastAsia"/>
                <w:lang w:val="en-US" w:eastAsia="zh-CN"/>
              </w:rPr>
            </w:pPr>
            <w:r>
              <w:rPr>
                <w:rFonts w:hint="eastAsia" w:ascii="宋体" w:hAnsi="宋体" w:eastAsia="宋体" w:cs="宋体"/>
                <w:sz w:val="24"/>
                <w:szCs w:val="24"/>
                <w:lang w:val="en-US" w:eastAsia="zh-CN"/>
              </w:rPr>
              <w:t>局机关大楼及乌拉山税务分局安保服务4人，乡镇税务所保洁、厨师、保安人员5人，局机关、乌拉山税务分局保洁及会议服务6人，物业经理1人，厨师长1人，炒菜、炖菜师傅1人，面点师1人，帮厨1人，洗碗工、服务员1人，共计21名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1</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napToGrid/>
                <w:sz w:val="24"/>
                <w:szCs w:val="24"/>
                <w:lang w:val="en-US" w:eastAsia="zh-CN"/>
              </w:rPr>
              <w:t>完</w:t>
            </w:r>
            <w:r>
              <w:rPr>
                <w:rFonts w:hint="eastAsia" w:ascii="宋体" w:hAnsi="宋体" w:eastAsia="宋体" w:cs="宋体"/>
                <w:b/>
                <w:bCs/>
                <w:sz w:val="24"/>
                <w:szCs w:val="24"/>
                <w:lang w:val="en-US" w:eastAsia="zh-CN"/>
              </w:rPr>
              <w:t>成分配的其他要求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附则：以上人员要做好爱护清洁工具，节约用水，不在上班期间睡觉，不做其他与工作无关的事情。对违反管理规定的人员甲方有权进行批评、制止，对不服从管理、教育的及时向物业经理反应，同时甲方有权提出更换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w:t>
            </w:r>
            <w:r>
              <w:rPr>
                <w:rFonts w:hint="eastAsia" w:cs="宋体"/>
                <w:spacing w:val="-3"/>
                <w:sz w:val="24"/>
                <w:szCs w:val="24"/>
                <w:lang w:val="en-US" w:eastAsia="zh-CN"/>
              </w:rPr>
              <w:t>2</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采购单位与中标单位的费用界定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1.采购单位负责的费用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甲方负责特种设备及大型设备的维保：中央空调运行系统、智能系统、消防系统、灯光音响系统、电梯、给排水系统、厨房设备等特种设备和大型设备由采购人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（2）消防器材的定期年检，灭火器的补压等费用由甲方负责。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（3）公共区域、室内外绿植的摆放由甲方负责。乙方负责对院落绿化带垃圾进行定期捡拾和清理；对楼内绿植进行养护。甲方免费提供乙方服务该项目所需的办公场所 、值班室、库房。</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（4）餐厅内所需设备及配件购置等由甲方负责支付。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（5）餐厅场地水、电、气费用的支出由甲方负责支付。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（6）餐厅内厨房厨具、餐具等设备设施的日常更换及损耗增补费用由甲方负责支付。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中标单位负责费用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（1）用工成本。相关费用人员成本构成须包括按民法典、劳动法等相关法律规定且需符合当地薪资标准：</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（2）行政办公费用，办公用品用具等（服务活动中所需电脑、打印机、传真机、复印机）。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（3）员工福利、劳保（服装等）。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（4）各类物资装备投入。如保洁设备（单擦机、洗地机、吸尘器、地毯抽洗机等）、安保器械（对讲机、警戒棍等）、清洁设备（单擦机、洗地机、吸尘器 、地毯抽洗机等）。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物料耗材（如：公共区域日常所需的卫生间手纸、洗手液等、拖布、尘推、扫把、垃圾铲、家私蜡、碧丽珠、清洁药剂。机关餐厅所需的食品袋、垃圾袋之类的塑料制品，洗洁精、洗碗清洗液、前厅抽纸、保鲜膜、火碱等耗材）等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（6）保洁工具及专项费用：购买常用保洁工具及购买专项保洁用品（如：玻璃清 、不锈钢油等）所产生的相关费用。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（7）一年两次局机关大楼及乌拉山税务分局玻璃清洁费用</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（8）垃圾外运的费用支出由乙方负责。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（9）管理佣金。</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3</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其它</w:t>
            </w:r>
            <w:r>
              <w:rPr>
                <w:rFonts w:hint="eastAsia" w:ascii="宋体" w:hAnsi="宋体" w:eastAsia="宋体" w:cs="宋体"/>
                <w:b/>
                <w:bCs/>
                <w:sz w:val="24"/>
                <w:szCs w:val="24"/>
                <w:lang w:val="en-US" w:eastAsia="zh-CN"/>
              </w:rPr>
              <w:t>说明:</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、物业委托管理期限为1年，按年度签订物业服务合同，物业服务费用按半年支付。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、要求物业人员每年定期体检，持相关从业资格证书及健康证上岗，无行业上岗证不准录用。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、要求中标方给物业全体从业人员缴纳社会保险，按月定时发放从业人员工资。采购方发现违规用工，立即解除物业服务合同。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、其他要求根据实际情况在最终成交后签订合同中体现，双方有未尽事宜经协商一致后可签订补充协议。</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Cs w:val="0"/>
          <w:kern w:val="2"/>
          <w:sz w:val="28"/>
          <w:szCs w:val="28"/>
          <w:lang w:val="zh-CN"/>
        </w:rPr>
      </w:pP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32612"/>
      <w:bookmarkStart w:id="37" w:name="_Toc24209"/>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8282"/>
      <w:bookmarkStart w:id="40" w:name="_Toc29758"/>
      <w:bookmarkStart w:id="41" w:name="_Toc20071"/>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5" w:name="_Toc10284"/>
            <w:bookmarkStart w:id="46" w:name="_Toc22447"/>
            <w:r>
              <w:rPr>
                <w:rFonts w:hint="eastAsia" w:ascii="宋体" w:hAnsi="宋体" w:eastAsia="宋体" w:cs="宋体"/>
                <w:color w:val="auto"/>
                <w:sz w:val="24"/>
                <w:szCs w:val="24"/>
                <w:highlight w:val="none"/>
              </w:rPr>
              <w:t>大写：</w:t>
            </w:r>
            <w:bookmarkEnd w:id="45"/>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7" w:name="_Toc195"/>
            <w:bookmarkStart w:id="48" w:name="_Toc3451"/>
            <w:r>
              <w:rPr>
                <w:rFonts w:hint="eastAsia" w:ascii="宋体" w:hAnsi="宋体" w:eastAsia="宋体" w:cs="宋体"/>
                <w:color w:val="auto"/>
                <w:sz w:val="24"/>
                <w:szCs w:val="24"/>
                <w:highlight w:val="none"/>
              </w:rPr>
              <w:t>小写：</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9"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9"/>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bookmarkStart w:id="50" w:name="_Toc12197"/>
            <w:bookmarkStart w:id="51" w:name="_Toc8064"/>
            <w:r>
              <w:rPr>
                <w:rFonts w:hint="eastAsia" w:ascii="宋体" w:hAnsi="宋体" w:eastAsia="宋体" w:cs="宋体"/>
                <w:color w:val="auto"/>
                <w:sz w:val="24"/>
                <w:szCs w:val="24"/>
                <w:highlight w:val="none"/>
              </w:rPr>
              <w:t>投标总报价</w:t>
            </w:r>
            <w:bookmarkEnd w:id="50"/>
            <w:bookmarkEnd w:id="51"/>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2" w:name="_Toc20575"/>
            <w:r>
              <w:rPr>
                <w:rFonts w:hint="eastAsia" w:ascii="宋体" w:hAnsi="宋体" w:cs="宋体"/>
                <w:color w:val="auto"/>
                <w:sz w:val="24"/>
                <w:szCs w:val="24"/>
                <w:highlight w:val="none"/>
                <w:lang w:val="en-US" w:eastAsia="zh-CN"/>
              </w:rPr>
              <w:t>服务期</w:t>
            </w:r>
            <w:bookmarkEnd w:id="52"/>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3" w:name="_Toc10497_WPSOffice_Level2"/>
      <w:r>
        <w:rPr>
          <w:rFonts w:hint="eastAsia" w:ascii="宋体" w:hAnsi="宋体" w:eastAsia="宋体" w:cs="宋体"/>
          <w:color w:val="auto"/>
          <w:sz w:val="24"/>
          <w:szCs w:val="24"/>
          <w:highlight w:val="none"/>
        </w:rPr>
        <w:t>法定代表人或法人授权代表（签字）：</w:t>
      </w:r>
      <w:bookmarkEnd w:id="53"/>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4" w:name="_Toc24510"/>
      <w:r>
        <w:rPr>
          <w:rFonts w:hint="eastAsia" w:ascii="宋体" w:hAnsi="宋体" w:eastAsia="宋体" w:cs="宋体"/>
          <w:b w:val="0"/>
          <w:bCs w:val="0"/>
          <w:color w:val="auto"/>
          <w:sz w:val="24"/>
          <w:szCs w:val="24"/>
          <w:highlight w:val="none"/>
        </w:rPr>
        <w:t>年    月     日</w:t>
      </w:r>
      <w:bookmarkEnd w:id="54"/>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5" w:name="_Toc496001220"/>
      <w:bookmarkStart w:id="56" w:name="_Toc482026549"/>
    </w:p>
    <w:bookmarkEnd w:id="55"/>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28121"/>
      <w:r>
        <w:rPr>
          <w:rFonts w:hint="eastAsia" w:ascii="宋体" w:hAnsi="宋体" w:eastAsia="宋体" w:cs="宋体"/>
          <w:b/>
          <w:bCs/>
          <w:color w:val="auto"/>
          <w:sz w:val="24"/>
          <w:szCs w:val="24"/>
          <w:highlight w:val="none"/>
        </w:rPr>
        <w:t>授权委托书</w:t>
      </w:r>
      <w:bookmarkEnd w:id="57"/>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8" w:name="_Toc20253"/>
      <w:r>
        <w:rPr>
          <w:rFonts w:hint="eastAsia" w:ascii="宋体" w:hAnsi="宋体" w:eastAsia="宋体" w:cs="宋体"/>
          <w:b/>
          <w:bCs/>
          <w:sz w:val="24"/>
          <w:szCs w:val="24"/>
          <w:highlight w:val="none"/>
          <w:lang w:val="zh-CN"/>
        </w:rPr>
        <w:t>供应商基本情况表</w:t>
      </w:r>
      <w:bookmarkEnd w:id="58"/>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9" w:name="_Toc16729"/>
      <w:r>
        <w:rPr>
          <w:rFonts w:hint="eastAsia" w:ascii="宋体" w:hAnsi="宋体" w:eastAsia="宋体" w:cs="宋体"/>
          <w:b/>
          <w:bCs/>
          <w:sz w:val="24"/>
          <w:szCs w:val="24"/>
          <w:lang w:val="en-US" w:eastAsia="zh-CN"/>
        </w:rPr>
        <w:t>提供具有独立承担民事责任的能力的证明材料</w:t>
      </w:r>
      <w:bookmarkEnd w:id="5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60" w:name="_Toc15113"/>
      <w:r>
        <w:rPr>
          <w:rFonts w:hint="eastAsia" w:ascii="宋体" w:hAnsi="宋体" w:eastAsia="宋体" w:cs="宋体"/>
          <w:b/>
          <w:bCs/>
          <w:sz w:val="24"/>
          <w:szCs w:val="24"/>
          <w:highlight w:val="none"/>
        </w:rPr>
        <w:t>提供具有良好的商业信誉和健全的财务会计制度的证明材料</w:t>
      </w:r>
      <w:bookmarkEnd w:id="60"/>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61" w:name="_Toc5761"/>
      <w:r>
        <w:rPr>
          <w:rFonts w:hint="eastAsia" w:ascii="宋体" w:hAnsi="宋体" w:eastAsia="宋体" w:cs="宋体"/>
          <w:b/>
          <w:bCs/>
          <w:sz w:val="24"/>
          <w:szCs w:val="24"/>
          <w:highlight w:val="none"/>
          <w:lang w:val="en-US" w:eastAsia="zh-CN"/>
        </w:rPr>
        <w:t>提供依法缴纳税收和社会保障资金的良好记录</w:t>
      </w:r>
      <w:bookmarkEnd w:id="61"/>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2" w:name="_Toc15730"/>
      <w:r>
        <w:rPr>
          <w:rFonts w:hint="eastAsia" w:ascii="宋体" w:hAnsi="宋体" w:eastAsia="宋体" w:cs="宋体"/>
          <w:b/>
          <w:bCs/>
          <w:sz w:val="24"/>
          <w:szCs w:val="24"/>
          <w:highlight w:val="none"/>
        </w:rPr>
        <w:t>具有履行合同所必须的设备和专业技术能力的声明</w:t>
      </w:r>
      <w:bookmarkEnd w:id="62"/>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63" w:name="_Toc9157"/>
      <w:r>
        <w:rPr>
          <w:rFonts w:hint="eastAsia" w:ascii="宋体" w:hAnsi="宋体" w:eastAsia="宋体" w:cs="宋体"/>
          <w:b/>
          <w:bCs/>
          <w:sz w:val="24"/>
          <w:szCs w:val="24"/>
          <w:highlight w:val="none"/>
        </w:rPr>
        <w:t>参加政府采购前三年内在经营活动中无重大违法记录书面声明</w:t>
      </w:r>
      <w:bookmarkEnd w:id="63"/>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64" w:name="_Toc2500"/>
      <w:r>
        <w:rPr>
          <w:rFonts w:hint="eastAsia" w:ascii="宋体" w:hAnsi="宋体" w:eastAsia="宋体" w:cs="宋体"/>
          <w:b/>
          <w:bCs/>
          <w:strike w:val="0"/>
          <w:sz w:val="24"/>
          <w:szCs w:val="24"/>
          <w:highlight w:val="none"/>
        </w:rPr>
        <w:t>信用记录查询结果</w:t>
      </w:r>
      <w:bookmarkEnd w:id="64"/>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5" w:name="_Toc19854"/>
      <w:r>
        <w:rPr>
          <w:rFonts w:hint="eastAsia" w:ascii="宋体" w:hAnsi="宋体" w:eastAsia="宋体" w:cs="宋体"/>
          <w:b/>
          <w:bCs/>
          <w:sz w:val="24"/>
          <w:szCs w:val="24"/>
          <w:highlight w:val="none"/>
        </w:rPr>
        <w:t>联合体协议书</w:t>
      </w:r>
      <w:bookmarkEnd w:id="65"/>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6"/>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6" w:name="_Toc883"/>
      <w:r>
        <w:rPr>
          <w:rFonts w:hint="eastAsia" w:ascii="宋体" w:hAnsi="宋体" w:eastAsia="宋体" w:cs="宋体"/>
          <w:b/>
          <w:bCs/>
          <w:color w:val="auto"/>
          <w:kern w:val="0"/>
          <w:sz w:val="24"/>
          <w:szCs w:val="24"/>
          <w:highlight w:val="none"/>
          <w:lang w:val="en-US" w:eastAsia="zh-CN" w:bidi="ar-SA"/>
        </w:rPr>
        <w:t>中小企业声明函</w:t>
      </w:r>
      <w:bookmarkEnd w:id="66"/>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7" w:name="_Toc1611_WPSOffice_Level2"/>
      <w:bookmarkStart w:id="68" w:name="_Toc59_WPSOffice_Level2"/>
      <w:bookmarkStart w:id="69" w:name="_Toc30542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7"/>
      <w:bookmarkEnd w:id="68"/>
      <w:bookmarkEnd w:id="69"/>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70" w:name="_Toc7023"/>
      <w:r>
        <w:rPr>
          <w:rFonts w:hint="eastAsia" w:ascii="宋体" w:hAnsi="宋体" w:eastAsia="宋体" w:cs="宋体"/>
          <w:b/>
          <w:bCs/>
          <w:sz w:val="24"/>
          <w:szCs w:val="24"/>
          <w:highlight w:val="none"/>
        </w:rPr>
        <w:t>监狱企业</w:t>
      </w:r>
      <w:bookmarkEnd w:id="70"/>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1" w:name="_Toc16864"/>
      <w:r>
        <w:rPr>
          <w:rFonts w:hint="eastAsia" w:ascii="宋体" w:hAnsi="宋体" w:eastAsia="宋体" w:cs="宋体"/>
          <w:b/>
          <w:bCs/>
          <w:sz w:val="24"/>
          <w:szCs w:val="24"/>
          <w:highlight w:val="none"/>
        </w:rPr>
        <w:t>残疾人福利性单位声明函</w:t>
      </w:r>
      <w:bookmarkEnd w:id="71"/>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72" w:name="_Toc3326"/>
      <w:r>
        <w:rPr>
          <w:rFonts w:hint="eastAsia" w:ascii="宋体" w:hAnsi="宋体" w:eastAsia="宋体" w:cs="宋体"/>
          <w:b/>
          <w:bCs/>
          <w:sz w:val="24"/>
          <w:szCs w:val="24"/>
          <w:highlight w:val="none"/>
          <w:lang w:val="zh-CN"/>
        </w:rPr>
        <w:t>主要商务要求承诺书</w:t>
      </w:r>
      <w:bookmarkEnd w:id="72"/>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73" w:name="_Toc23861"/>
      <w:r>
        <w:rPr>
          <w:rFonts w:hint="eastAsia" w:ascii="宋体" w:hAnsi="宋体" w:eastAsia="宋体" w:cs="宋体"/>
          <w:b/>
          <w:bCs/>
          <w:sz w:val="24"/>
          <w:szCs w:val="24"/>
          <w:highlight w:val="none"/>
        </w:rPr>
        <w:t>技术偏离表</w:t>
      </w:r>
      <w:bookmarkEnd w:id="73"/>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74" w:name="_Toc31257"/>
      <w:bookmarkStart w:id="75" w:name="_Toc16547_WPSOffice_Level2"/>
      <w:bookmarkStart w:id="76" w:name="_Toc4230"/>
      <w:bookmarkStart w:id="77" w:name="_Toc26508_WPSOffice_Level2"/>
      <w:bookmarkStart w:id="78" w:name="_Toc22034_WPSOffice_Level1"/>
      <w:bookmarkStart w:id="79" w:name="_Toc9044_WPSOffice_Level1"/>
      <w:bookmarkStart w:id="80" w:name="_Toc28285"/>
    </w:p>
    <w:bookmarkEnd w:id="74"/>
    <w:bookmarkEnd w:id="75"/>
    <w:bookmarkEnd w:id="76"/>
    <w:bookmarkEnd w:id="77"/>
    <w:bookmarkEnd w:id="78"/>
    <w:bookmarkEnd w:id="79"/>
    <w:bookmarkEnd w:id="80"/>
    <w:p>
      <w:pPr>
        <w:spacing w:line="360" w:lineRule="auto"/>
        <w:jc w:val="center"/>
        <w:rPr>
          <w:rFonts w:hint="eastAsia" w:ascii="宋体" w:hAnsi="宋体" w:eastAsia="宋体" w:cs="宋体"/>
          <w:sz w:val="24"/>
          <w:szCs w:val="24"/>
          <w:lang w:val="zh-CN" w:eastAsia="zh-CN"/>
        </w:rPr>
      </w:pPr>
      <w:bookmarkStart w:id="81" w:name="_Toc23202_WPSOffice_Level3"/>
      <w:bookmarkStart w:id="82" w:name="_Toc19998_WPSOffice_Level2"/>
      <w:bookmarkStart w:id="83" w:name="_Toc20372_WPSOffice_Level3"/>
      <w:bookmarkStart w:id="84"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81"/>
    <w:bookmarkEnd w:id="82"/>
    <w:bookmarkEnd w:id="83"/>
    <w:bookmarkEnd w:id="84"/>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85" w:name="_Toc1474"/>
      <w:r>
        <w:rPr>
          <w:rFonts w:hint="eastAsia" w:ascii="宋体" w:hAnsi="宋体" w:eastAsia="宋体" w:cs="宋体"/>
          <w:b/>
          <w:bCs/>
          <w:sz w:val="24"/>
          <w:szCs w:val="24"/>
          <w:highlight w:val="none"/>
        </w:rPr>
        <w:t>供应商业绩情况表</w:t>
      </w:r>
      <w:bookmarkEnd w:id="85"/>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6" w:name="_Toc482026557"/>
      <w:bookmarkStart w:id="87" w:name="_Toc438655703"/>
      <w:bookmarkStart w:id="88" w:name="_Toc438714733"/>
    </w:p>
    <w:bookmarkEnd w:id="86"/>
    <w:bookmarkEnd w:id="87"/>
    <w:bookmarkEnd w:id="88"/>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9" w:name="_Toc19620"/>
      <w:r>
        <w:rPr>
          <w:rFonts w:hint="eastAsia" w:ascii="宋体" w:hAnsi="宋体" w:eastAsia="宋体" w:cs="宋体"/>
          <w:b/>
          <w:bCs/>
          <w:sz w:val="24"/>
          <w:szCs w:val="24"/>
          <w:highlight w:val="none"/>
          <w:lang w:val="en-US" w:eastAsia="zh-CN"/>
        </w:rPr>
        <w:t>各类证明材料</w:t>
      </w:r>
      <w:bookmarkEnd w:id="89"/>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204125"/>
    <w:rsid w:val="15D40943"/>
    <w:rsid w:val="15E87235"/>
    <w:rsid w:val="15E95407"/>
    <w:rsid w:val="16A034BC"/>
    <w:rsid w:val="17614353"/>
    <w:rsid w:val="1837509F"/>
    <w:rsid w:val="18730F39"/>
    <w:rsid w:val="187835E0"/>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ED145AA"/>
    <w:rsid w:val="1F6B19DA"/>
    <w:rsid w:val="1FC46BD6"/>
    <w:rsid w:val="1FC54741"/>
    <w:rsid w:val="1FFF0758"/>
    <w:rsid w:val="20E628BE"/>
    <w:rsid w:val="20F62ECF"/>
    <w:rsid w:val="21514CD4"/>
    <w:rsid w:val="21840ED1"/>
    <w:rsid w:val="22006AA3"/>
    <w:rsid w:val="223E6B2C"/>
    <w:rsid w:val="229426FA"/>
    <w:rsid w:val="22A70BBA"/>
    <w:rsid w:val="246457B9"/>
    <w:rsid w:val="254D59F1"/>
    <w:rsid w:val="271D2AA7"/>
    <w:rsid w:val="278C5F98"/>
    <w:rsid w:val="27B23624"/>
    <w:rsid w:val="27BD5880"/>
    <w:rsid w:val="27DD1063"/>
    <w:rsid w:val="28F7227E"/>
    <w:rsid w:val="29B75FCB"/>
    <w:rsid w:val="2A7A75B2"/>
    <w:rsid w:val="2A9515A1"/>
    <w:rsid w:val="2AC3464E"/>
    <w:rsid w:val="2B06451A"/>
    <w:rsid w:val="2B3A49B3"/>
    <w:rsid w:val="2BAF5CEA"/>
    <w:rsid w:val="2BD079A1"/>
    <w:rsid w:val="2BFE4CFB"/>
    <w:rsid w:val="2C3B37AF"/>
    <w:rsid w:val="2C78560D"/>
    <w:rsid w:val="2C812DDC"/>
    <w:rsid w:val="2CB66035"/>
    <w:rsid w:val="2CCB7D6F"/>
    <w:rsid w:val="2D323983"/>
    <w:rsid w:val="2D5B6FBF"/>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575DAB"/>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ADD1969"/>
    <w:rsid w:val="3B1675E4"/>
    <w:rsid w:val="3BE37069"/>
    <w:rsid w:val="3BE633D5"/>
    <w:rsid w:val="3C0B48D2"/>
    <w:rsid w:val="3C65673D"/>
    <w:rsid w:val="3CE50F2E"/>
    <w:rsid w:val="3D096C2D"/>
    <w:rsid w:val="3DE27F04"/>
    <w:rsid w:val="3E371CF8"/>
    <w:rsid w:val="3E581CCD"/>
    <w:rsid w:val="3F773EE9"/>
    <w:rsid w:val="41D51A2A"/>
    <w:rsid w:val="42277FF1"/>
    <w:rsid w:val="423D1F07"/>
    <w:rsid w:val="424B6320"/>
    <w:rsid w:val="43114034"/>
    <w:rsid w:val="4424380E"/>
    <w:rsid w:val="454F1F4D"/>
    <w:rsid w:val="45B80273"/>
    <w:rsid w:val="460709E8"/>
    <w:rsid w:val="46CA34C6"/>
    <w:rsid w:val="46DA24AC"/>
    <w:rsid w:val="46E26247"/>
    <w:rsid w:val="47160A6F"/>
    <w:rsid w:val="471E62FF"/>
    <w:rsid w:val="47522B33"/>
    <w:rsid w:val="47A960BD"/>
    <w:rsid w:val="47C0279F"/>
    <w:rsid w:val="482C228A"/>
    <w:rsid w:val="4831524B"/>
    <w:rsid w:val="483E5547"/>
    <w:rsid w:val="48D251F5"/>
    <w:rsid w:val="49791BD1"/>
    <w:rsid w:val="49C62AA5"/>
    <w:rsid w:val="4AB966B2"/>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502E5202"/>
    <w:rsid w:val="502F7190"/>
    <w:rsid w:val="508A7702"/>
    <w:rsid w:val="50B1661A"/>
    <w:rsid w:val="50F33949"/>
    <w:rsid w:val="514C1CC7"/>
    <w:rsid w:val="51702CBD"/>
    <w:rsid w:val="523172CE"/>
    <w:rsid w:val="53185F26"/>
    <w:rsid w:val="53787F37"/>
    <w:rsid w:val="53FA526F"/>
    <w:rsid w:val="54684CCB"/>
    <w:rsid w:val="54CC3272"/>
    <w:rsid w:val="559867BC"/>
    <w:rsid w:val="55CF7668"/>
    <w:rsid w:val="5611195E"/>
    <w:rsid w:val="566A7AB8"/>
    <w:rsid w:val="578C3E5C"/>
    <w:rsid w:val="583A3D1F"/>
    <w:rsid w:val="5963606A"/>
    <w:rsid w:val="59CC1E60"/>
    <w:rsid w:val="5A3958FC"/>
    <w:rsid w:val="5A52363F"/>
    <w:rsid w:val="5ADB4B37"/>
    <w:rsid w:val="5BA51B52"/>
    <w:rsid w:val="5C07789B"/>
    <w:rsid w:val="5C8E76C8"/>
    <w:rsid w:val="5C9A1E00"/>
    <w:rsid w:val="5CE12E84"/>
    <w:rsid w:val="5D051A57"/>
    <w:rsid w:val="5D4E3B9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EA3566"/>
    <w:rsid w:val="65F9177F"/>
    <w:rsid w:val="664D7964"/>
    <w:rsid w:val="6659611C"/>
    <w:rsid w:val="67225BC8"/>
    <w:rsid w:val="676B07FC"/>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F5076E1"/>
    <w:rsid w:val="6FE643F7"/>
    <w:rsid w:val="6FE949B4"/>
    <w:rsid w:val="7016200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 w:type="paragraph" w:styleId="8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68</Pages>
  <Words>425</Words>
  <Characters>455</Characters>
  <Lines>190</Lines>
  <Paragraphs>53</Paragraphs>
  <TotalTime>2</TotalTime>
  <ScaleCrop>false</ScaleCrop>
  <LinksUpToDate>false</LinksUpToDate>
  <CharactersWithSpaces>478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2025-12-08T08:49:39Z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A638CA36970B4A5AADB3A2E1F9E9F233_13</vt:lpwstr>
  </property>
  <property fmtid="{D5CDD505-2E9C-101B-9397-08002B2CF9AE}" pid="4" name="KSOTemplateDocerSaveRecord">
    <vt:lpwstr>eyJoZGlkIjoiOTNiYjk4YjJiZTk3MTM2YWExMDFmNTQ1MzkzOWUzMTQiLCJ1c2VySWQiOiIxNjM5NDc5ODU0In0=</vt:lpwstr>
  </property>
</Properties>
</file>