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val="en-US" w:eastAsia="zh-CN"/>
        </w:rPr>
        <w:t>国家税务总局阿拉善右旗税务局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“双随机、一公开”抽查工作实施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eastAsia="zh-CN"/>
        </w:rPr>
        <w:t>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color="auto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第一条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为进一步优化营商环境，规范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税务部门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执法行为，强化事中事后监管，提高监管效能，结合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税收征管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工作实际，制定本实施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办法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第二条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本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办法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所称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双随机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、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一公开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工作，是指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部门依法实施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税收征管日常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检查时，采取随机抽取检查对象、随机选派执法检查人员，依照法定职责对被抽查单位进行检查，并及时公开抽查情况和查处结果的工作机制。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第三条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检查人员应当遵循规范监管、公正高效、公开透明、统一管理、协同推进的原则，认真履行监管任务，严格规范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公正</w:t>
      </w:r>
      <w:bookmarkStart w:id="0" w:name="_GoBack"/>
      <w:bookmarkEnd w:id="0"/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文明执法，遵守保密制度及相关要求。按照分工负责、协作配合原则，依法进行检查，做到内容明确、程序合法、文书规范。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第四条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坚持法无授权不可为、法定职责必须为，全面梳理本单位依法应当实施的监督检查事项，明确抽查依据、抽查主体、抽查内容、抽查方式等，制定随机抽查事项清单并向社会公布。凡是法律法规规章赋予监管职能的均应列入清单；凡法律法规规章未赋予监管职能的，不得列入清单开展检查。根据法律法规规章修订、权责清单动态调整情况和简政放权工作实际，对随机抽查事项清单进行动态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第五条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建立检查对象名录库，检查对象名录库应当涵盖全部被监管对象，内容应当包括检查对象的类型、检查对象的名称、统一社会信用代码、所属行业、法定代表人、联系方式等。根据检查对象的变动，适时对检查对象名录库进行动态调整更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第六条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建立执法人员名录库。包括执法人员姓名、职务、执法证号、执法领域、联系电话等内容，并根据执法人员变动情况适时动态调整更新执法人员名录库。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第七条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抽查事项中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除日常征管外的其他评估、检查及稽查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事项的抽查主体分别为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对应部门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第八条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开展执法检查前，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要按照“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双随机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要求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,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制定部门内部抽查和联合抽查计划，合法合理地确定检查事项。各抽查主体应当通过国家企业信用信息公示系统的随机抽查功能，根据抽查计划和任务，随机确定检查对象，随机选派检查人员。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第九条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 xml:space="preserve">  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随机抽查可采取定向或不定向方式，并合理确定抽查比例和频次。原则上，在同一年度内对同一检查对象的抽查次数不超过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次。对同一检查对象，不同执法部门实施检查时，应当实行联合检查。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第十条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开展随机抽查工作，选派执法人员不得少于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名，检查人员如果存在应予回避的情形，应当依法回避，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因客观原因未能参加检查，应采取“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递补抽取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的方式仍从执法检查人员名录库中随机抽取产生。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第十一条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要合理选择检查方式，抽查可以采用实地检查、书面检查和网络监测、专业机构检查等方式，同时要如实填写检查记录表，并逐步推广运用电子化手段，实现责任可追溯。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第十二条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及时公示抽查及处理结果，按照“谁抽查、谁公示”的原则，对抽查情况及查处结果及时通过“国家企业信用信息公示系统（部门协同监管平台－内蒙古）”和政府网站向社会公示，接受社会监督。对抽查发现的违法违规行为，要依法依规处理，形成有效震慑，增强市场主体守法的自觉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第十三条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检查人员要严格依照法定程序严格执法。对检查中发现的问题要从严从快处理，该整改的及时责令整改，该处罚的依法处罚。对涉嫌犯罪的要移交司法部门进行处理，确保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税收征管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领域违法问题整治到位、移交移送到位。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第十四条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抽查人员应遵守保密守则，按照《保密法》规定程序依法办事。在抽查工作未公开之前，检查人员不得私自或在无保密保障的情况下制作、传递、复制相关资料，不准在私人交往和通信中涉及抽查信息。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5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第十五条</w:t>
      </w:r>
      <w:r>
        <w:rPr>
          <w:rStyle w:val="5"/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随机抽查应当严格遵守国家有关法律、法规、规章和党风廉政建设规定，不得妨碍被检查单位的正常秩序。对于在抽查工作中滥用职权、玩忽职守、徇私舞弊的，依照有关法律法规和纪律处分规定处理。涉嫌犯罪的，移交司法机关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4OGI0YzRjZDYwMjIxOTRhNzFkYTUwNGVmOTUzYjAifQ=="/>
  </w:docVars>
  <w:rsids>
    <w:rsidRoot w:val="00000000"/>
    <w:rsid w:val="0C073BB0"/>
    <w:rsid w:val="2C095D39"/>
    <w:rsid w:val="2C6546BC"/>
    <w:rsid w:val="36BE0173"/>
    <w:rsid w:val="399C1BB2"/>
    <w:rsid w:val="6AA0114C"/>
    <w:rsid w:val="79DB5E56"/>
    <w:rsid w:val="7EE16D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2023-08-02T13:30:00Z</dcterms:created>
  <dc:creator>Administrator</dc:creator>
  <cp:lastModifiedBy>高永兵</cp:lastModifiedBy>
  <dcterms:modified xsi:type="dcterms:W3CDTF">2025-10-23T01:32:56Z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D67ECAC481ED469484BB465291E016B7_12</vt:lpwstr>
  </property>
</Properties>
</file>